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1208B">
        <w:rPr>
          <w:b/>
          <w:color w:val="000000"/>
          <w:sz w:val="24"/>
          <w:szCs w:val="24"/>
        </w:rPr>
        <w:t>1</w:t>
      </w:r>
      <w:r w:rsidR="00C91026">
        <w:rPr>
          <w:b/>
          <w:color w:val="000000"/>
          <w:sz w:val="24"/>
          <w:szCs w:val="24"/>
        </w:rPr>
        <w:t>2</w:t>
      </w:r>
      <w:bookmarkStart w:id="0" w:name="_GoBack"/>
      <w:bookmarkEnd w:id="0"/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1208B" w:rsidP="007057F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7057F1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7057F1">
        <w:rPr>
          <w:sz w:val="24"/>
          <w:szCs w:val="24"/>
        </w:rPr>
        <w:t xml:space="preserve">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A1208B" w:rsidRDefault="00A1208B" w:rsidP="00A1208B">
      <w:pPr>
        <w:tabs>
          <w:tab w:val="left" w:pos="709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>
        <w:rPr>
          <w:sz w:val="24"/>
          <w:szCs w:val="24"/>
        </w:rPr>
        <w:t>Кийски Артур Валтерович.</w:t>
      </w:r>
    </w:p>
    <w:p w:rsidR="00A1208B" w:rsidRDefault="00A1208B" w:rsidP="00A120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 члены правления ЛенРТК: </w:t>
      </w:r>
      <w:r>
        <w:rPr>
          <w:sz w:val="24"/>
          <w:szCs w:val="24"/>
        </w:rPr>
        <w:t>Свиридова Татьяна Львовна,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Синюкова</w:t>
      </w:r>
      <w:proofErr w:type="spellEnd"/>
      <w:r>
        <w:rPr>
          <w:sz w:val="24"/>
          <w:szCs w:val="24"/>
        </w:rPr>
        <w:t xml:space="preserve"> Ирина Васильевна, Курылко Светлана Анатольевна, Зороян Сурен Георгиевич, Кремнева Наталья Николаевна.</w:t>
      </w:r>
    </w:p>
    <w:p w:rsidR="00A1208B" w:rsidRDefault="00A1208B" w:rsidP="00A12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>
        <w:rPr>
          <w:sz w:val="24"/>
          <w:szCs w:val="24"/>
        </w:rPr>
        <w:t>Абейдуллин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Анверович</w:t>
      </w:r>
      <w:proofErr w:type="spellEnd"/>
      <w:r>
        <w:rPr>
          <w:sz w:val="24"/>
          <w:szCs w:val="24"/>
        </w:rPr>
        <w:t xml:space="preserve"> 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A1208B" w:rsidRPr="00A1208B" w:rsidRDefault="00A1208B" w:rsidP="00A1208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1208B">
        <w:rPr>
          <w:sz w:val="24"/>
          <w:szCs w:val="24"/>
        </w:rPr>
        <w:t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котельных жилого комплекса «Золотые купола» по заявке общества с ограниченной ответственностью «</w:t>
      </w:r>
      <w:proofErr w:type="spellStart"/>
      <w:r w:rsidRPr="00A1208B">
        <w:rPr>
          <w:sz w:val="24"/>
          <w:szCs w:val="24"/>
        </w:rPr>
        <w:t>РосСтройИнвест</w:t>
      </w:r>
      <w:proofErr w:type="spellEnd"/>
      <w:r w:rsidRPr="00A1208B">
        <w:rPr>
          <w:sz w:val="24"/>
          <w:szCs w:val="24"/>
        </w:rPr>
        <w:t xml:space="preserve">» по </w:t>
      </w:r>
      <w:proofErr w:type="gramStart"/>
      <w:r w:rsidRPr="00A1208B">
        <w:rPr>
          <w:sz w:val="24"/>
          <w:szCs w:val="24"/>
        </w:rPr>
        <w:t>индивидуальному проекту</w:t>
      </w:r>
      <w:proofErr w:type="gramEnd"/>
      <w:r w:rsidRPr="00A1208B">
        <w:rPr>
          <w:sz w:val="24"/>
          <w:szCs w:val="24"/>
        </w:rPr>
        <w:t xml:space="preserve">: «Газопровод лупинг высокого давления II категории от ГРС «Сертолово» до отвода к котельной </w:t>
      </w:r>
      <w:proofErr w:type="spellStart"/>
      <w:r w:rsidRPr="00A1208B">
        <w:rPr>
          <w:sz w:val="24"/>
          <w:szCs w:val="24"/>
        </w:rPr>
        <w:t>мкр</w:t>
      </w:r>
      <w:proofErr w:type="spellEnd"/>
      <w:r w:rsidRPr="00A1208B">
        <w:rPr>
          <w:sz w:val="24"/>
          <w:szCs w:val="24"/>
        </w:rPr>
        <w:t>. «Черная речка» г. Сертолово Всеволожского района Ленинградской области».</w:t>
      </w:r>
    </w:p>
    <w:p w:rsidR="00A1208B" w:rsidRPr="00A1208B" w:rsidRDefault="00A1208B" w:rsidP="00A1208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1208B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A1208B">
        <w:rPr>
          <w:sz w:val="24"/>
          <w:szCs w:val="24"/>
        </w:rPr>
        <w:t>индивидуальному проекту</w:t>
      </w:r>
      <w:proofErr w:type="gramEnd"/>
      <w:r w:rsidRPr="00A1208B">
        <w:rPr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Гатчинский муниципальный район, </w:t>
      </w:r>
      <w:proofErr w:type="spellStart"/>
      <w:r w:rsidRPr="00A1208B">
        <w:rPr>
          <w:sz w:val="24"/>
          <w:szCs w:val="24"/>
        </w:rPr>
        <w:t>Сиверское</w:t>
      </w:r>
      <w:proofErr w:type="spellEnd"/>
      <w:r w:rsidRPr="00A1208B">
        <w:rPr>
          <w:sz w:val="24"/>
          <w:szCs w:val="24"/>
        </w:rPr>
        <w:t xml:space="preserve"> городское поселение, </w:t>
      </w:r>
      <w:proofErr w:type="spellStart"/>
      <w:r w:rsidRPr="00A1208B">
        <w:rPr>
          <w:sz w:val="24"/>
          <w:szCs w:val="24"/>
        </w:rPr>
        <w:t>г.п</w:t>
      </w:r>
      <w:proofErr w:type="spellEnd"/>
      <w:r w:rsidRPr="00A1208B">
        <w:rPr>
          <w:sz w:val="24"/>
          <w:szCs w:val="24"/>
        </w:rPr>
        <w:t xml:space="preserve">. Сиверский, ул. Славы, участок 29, </w:t>
      </w:r>
      <w:r w:rsidRPr="00A1208B">
        <w:rPr>
          <w:sz w:val="24"/>
          <w:szCs w:val="24"/>
        </w:rPr>
        <w:br/>
        <w:t>(</w:t>
      </w:r>
      <w:proofErr w:type="spellStart"/>
      <w:r w:rsidRPr="00A1208B">
        <w:rPr>
          <w:sz w:val="24"/>
          <w:szCs w:val="24"/>
        </w:rPr>
        <w:t>кад</w:t>
      </w:r>
      <w:proofErr w:type="spellEnd"/>
      <w:r w:rsidRPr="00A1208B">
        <w:rPr>
          <w:sz w:val="24"/>
          <w:szCs w:val="24"/>
        </w:rPr>
        <w:t>. № 47:23:0907001:1059)».</w:t>
      </w:r>
    </w:p>
    <w:p w:rsidR="00A1208B" w:rsidRPr="00A1208B" w:rsidRDefault="00A1208B" w:rsidP="00A1208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1208B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13 октября 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области». </w:t>
      </w:r>
    </w:p>
    <w:p w:rsidR="00A1208B" w:rsidRPr="00A1208B" w:rsidRDefault="00A1208B" w:rsidP="00A1208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A1208B">
        <w:rPr>
          <w:sz w:val="24"/>
          <w:szCs w:val="24"/>
        </w:rPr>
        <w:t>Об установлении платы за подключение к централизованным системам холодного водоснабжения и водоотведения муниципального унитарного предприятия «</w:t>
      </w:r>
      <w:proofErr w:type="spellStart"/>
      <w:r w:rsidRPr="00A1208B">
        <w:rPr>
          <w:sz w:val="24"/>
          <w:szCs w:val="24"/>
        </w:rPr>
        <w:t>Низино</w:t>
      </w:r>
      <w:proofErr w:type="spellEnd"/>
      <w:r w:rsidRPr="00A1208B">
        <w:rPr>
          <w:sz w:val="24"/>
          <w:szCs w:val="24"/>
        </w:rPr>
        <w:t>» объекта капитального строительства (69-ти квартирный жилой дом) Федерального государственного казенного учреждения «6 центр заказчика-застройщика войск национальной гвардии Российской Федерации (войсковая часть 6899, г. Санкт-Петербург)», расположенного на земельном участке муниципального образования «</w:t>
      </w:r>
      <w:proofErr w:type="spellStart"/>
      <w:r w:rsidRPr="00A1208B">
        <w:rPr>
          <w:sz w:val="24"/>
          <w:szCs w:val="24"/>
        </w:rPr>
        <w:t>Низинское</w:t>
      </w:r>
      <w:proofErr w:type="spellEnd"/>
      <w:r w:rsidRPr="00A1208B">
        <w:rPr>
          <w:sz w:val="24"/>
          <w:szCs w:val="24"/>
        </w:rPr>
        <w:t xml:space="preserve"> сельское поселение» Ломоносовского муниципального района Ленинградской области (кадастровый номер земельного участка 47:14</w:t>
      </w:r>
      <w:proofErr w:type="gramEnd"/>
      <w:r w:rsidRPr="00A1208B">
        <w:rPr>
          <w:sz w:val="24"/>
          <w:szCs w:val="24"/>
        </w:rPr>
        <w:t>:0303012:4) в индивидуальном порядке.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1208B" w:rsidRPr="00A1208B" w:rsidRDefault="00A1208B" w:rsidP="00A1208B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A1208B">
        <w:rPr>
          <w:b/>
          <w:bCs/>
          <w:sz w:val="24"/>
          <w:szCs w:val="24"/>
        </w:rPr>
        <w:t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котельных жилого комплекса «Золотые купола» по заявке общества с ограниченной ответственностью «</w:t>
      </w:r>
      <w:proofErr w:type="spellStart"/>
      <w:r w:rsidRPr="00A1208B">
        <w:rPr>
          <w:b/>
          <w:bCs/>
          <w:sz w:val="24"/>
          <w:szCs w:val="24"/>
        </w:rPr>
        <w:t>РосСтройИнвест</w:t>
      </w:r>
      <w:proofErr w:type="spellEnd"/>
      <w:r w:rsidRPr="00A1208B">
        <w:rPr>
          <w:b/>
          <w:bCs/>
          <w:sz w:val="24"/>
          <w:szCs w:val="24"/>
        </w:rPr>
        <w:t xml:space="preserve">» по </w:t>
      </w:r>
      <w:proofErr w:type="gramStart"/>
      <w:r w:rsidRPr="00A1208B">
        <w:rPr>
          <w:b/>
          <w:bCs/>
          <w:sz w:val="24"/>
          <w:szCs w:val="24"/>
        </w:rPr>
        <w:t>индивидуальному проекту</w:t>
      </w:r>
      <w:proofErr w:type="gramEnd"/>
      <w:r w:rsidRPr="00A1208B">
        <w:rPr>
          <w:b/>
          <w:bCs/>
          <w:sz w:val="24"/>
          <w:szCs w:val="24"/>
        </w:rPr>
        <w:t xml:space="preserve">: «Газопровод лупинг высокого давления II категории от ГРС «Сертолово» до отвода к котельной </w:t>
      </w:r>
      <w:proofErr w:type="spellStart"/>
      <w:r w:rsidRPr="00A1208B">
        <w:rPr>
          <w:b/>
          <w:bCs/>
          <w:sz w:val="24"/>
          <w:szCs w:val="24"/>
        </w:rPr>
        <w:t>мкр</w:t>
      </w:r>
      <w:proofErr w:type="spellEnd"/>
      <w:r w:rsidRPr="00A1208B">
        <w:rPr>
          <w:b/>
          <w:bCs/>
          <w:sz w:val="24"/>
          <w:szCs w:val="24"/>
        </w:rPr>
        <w:t xml:space="preserve">. </w:t>
      </w:r>
      <w:proofErr w:type="gramStart"/>
      <w:r w:rsidRPr="00A1208B">
        <w:rPr>
          <w:b/>
          <w:bCs/>
          <w:sz w:val="24"/>
          <w:szCs w:val="24"/>
        </w:rPr>
        <w:t xml:space="preserve">«Черная речка» г. Сертолово Всеволожского района Ленинградской области» </w:t>
      </w:r>
      <w:r w:rsidRPr="00A1208B">
        <w:rPr>
          <w:bCs/>
          <w:sz w:val="24"/>
          <w:szCs w:val="24"/>
        </w:rPr>
        <w:t>выступил</w:t>
      </w:r>
      <w:r w:rsidRPr="00A1208B">
        <w:rPr>
          <w:b/>
          <w:sz w:val="24"/>
          <w:szCs w:val="24"/>
        </w:rPr>
        <w:t xml:space="preserve"> </w:t>
      </w:r>
      <w:r w:rsidRPr="00A1208B">
        <w:rPr>
          <w:sz w:val="24"/>
          <w:szCs w:val="24"/>
        </w:rPr>
        <w:t xml:space="preserve">ведущий специалист </w:t>
      </w:r>
      <w:r w:rsidRPr="00A1208B"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 w:rsidRPr="00A1208B">
        <w:rPr>
          <w:sz w:val="24"/>
          <w:szCs w:val="24"/>
        </w:rPr>
        <w:t xml:space="preserve">, изложив основные положения экспертного заключения по рассмотрению материалов по расчету уровня платы </w:t>
      </w:r>
      <w:r w:rsidRPr="00A1208B">
        <w:rPr>
          <w:bCs/>
          <w:sz w:val="24"/>
          <w:szCs w:val="24"/>
        </w:rPr>
        <w:t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котельных жилого комплекса «Золотые купола» по заявке общества с ограниченной ответственностью «</w:t>
      </w:r>
      <w:proofErr w:type="spellStart"/>
      <w:r w:rsidRPr="00A1208B">
        <w:rPr>
          <w:bCs/>
          <w:sz w:val="24"/>
          <w:szCs w:val="24"/>
        </w:rPr>
        <w:t>РосСтройИнвест</w:t>
      </w:r>
      <w:proofErr w:type="spellEnd"/>
      <w:r w:rsidRPr="00A1208B">
        <w:rPr>
          <w:bCs/>
          <w:sz w:val="24"/>
          <w:szCs w:val="24"/>
        </w:rPr>
        <w:t>» по индивидуальному проекту</w:t>
      </w:r>
      <w:proofErr w:type="gramEnd"/>
      <w:r w:rsidRPr="00A1208B">
        <w:rPr>
          <w:bCs/>
          <w:sz w:val="24"/>
          <w:szCs w:val="24"/>
        </w:rPr>
        <w:t xml:space="preserve">: «Газопровод лупинг высокого давления II категории от ГРС «Сертолово» до отвода к котельной </w:t>
      </w:r>
      <w:proofErr w:type="spellStart"/>
      <w:r w:rsidRPr="00A1208B">
        <w:rPr>
          <w:bCs/>
          <w:sz w:val="24"/>
          <w:szCs w:val="24"/>
        </w:rPr>
        <w:lastRenderedPageBreak/>
        <w:t>мкр</w:t>
      </w:r>
      <w:proofErr w:type="spellEnd"/>
      <w:r w:rsidRPr="00A1208B">
        <w:rPr>
          <w:bCs/>
          <w:sz w:val="24"/>
          <w:szCs w:val="24"/>
        </w:rPr>
        <w:t xml:space="preserve">. </w:t>
      </w:r>
      <w:proofErr w:type="gramStart"/>
      <w:r w:rsidRPr="00A1208B">
        <w:rPr>
          <w:bCs/>
          <w:sz w:val="24"/>
          <w:szCs w:val="24"/>
        </w:rPr>
        <w:t>«Черная речка» г. Сертолово Всеволожского района Ленинградской области»</w:t>
      </w:r>
      <w:r w:rsidRPr="00A1208B">
        <w:rPr>
          <w:sz w:val="24"/>
          <w:szCs w:val="24"/>
        </w:rPr>
        <w:t xml:space="preserve">, в соответствии с заявлениями АО «Газпром газораспределение </w:t>
      </w:r>
      <w:r w:rsidRPr="00A1208B">
        <w:rPr>
          <w:bCs/>
          <w:sz w:val="24"/>
          <w:szCs w:val="24"/>
        </w:rPr>
        <w:t xml:space="preserve">Ленинградская область» исх. от </w:t>
      </w:r>
      <w:r w:rsidRPr="00A1208B">
        <w:rPr>
          <w:sz w:val="24"/>
          <w:szCs w:val="24"/>
        </w:rPr>
        <w:t>08.02.2018                 № СП-31/939  (</w:t>
      </w:r>
      <w:proofErr w:type="spellStart"/>
      <w:r w:rsidRPr="00A1208B">
        <w:rPr>
          <w:sz w:val="24"/>
          <w:szCs w:val="24"/>
        </w:rPr>
        <w:t>вх</w:t>
      </w:r>
      <w:proofErr w:type="spellEnd"/>
      <w:r w:rsidRPr="00A1208B">
        <w:rPr>
          <w:sz w:val="24"/>
          <w:szCs w:val="24"/>
        </w:rPr>
        <w:t>.</w:t>
      </w:r>
      <w:proofErr w:type="gramEnd"/>
      <w:r w:rsidRPr="00A1208B">
        <w:rPr>
          <w:sz w:val="24"/>
          <w:szCs w:val="24"/>
        </w:rPr>
        <w:t xml:space="preserve"> ЛенРТК от 08.02.2018 № КТ-1-773/2018) и исх. от 21.02.2018 № АФ-60/1315   (</w:t>
      </w:r>
      <w:proofErr w:type="spellStart"/>
      <w:r w:rsidRPr="00A1208B">
        <w:rPr>
          <w:sz w:val="24"/>
          <w:szCs w:val="24"/>
        </w:rPr>
        <w:t>вх</w:t>
      </w:r>
      <w:proofErr w:type="spellEnd"/>
      <w:r w:rsidRPr="00A1208B">
        <w:rPr>
          <w:sz w:val="24"/>
          <w:szCs w:val="24"/>
        </w:rPr>
        <w:t>. ЛенРТК от 21.02.2018 № КТ-1-980/2018).</w:t>
      </w:r>
    </w:p>
    <w:p w:rsidR="00A1208B" w:rsidRPr="00A1208B" w:rsidRDefault="00A1208B" w:rsidP="00A12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1208B">
        <w:rPr>
          <w:sz w:val="24"/>
          <w:szCs w:val="24"/>
        </w:rPr>
        <w:t xml:space="preserve">Присутствующий на заседании Правления ЛенРТК представитель АО «Газпром газораспределение Ленинградская область» </w:t>
      </w:r>
      <w:proofErr w:type="spellStart"/>
      <w:r w:rsidRPr="00A1208B">
        <w:rPr>
          <w:sz w:val="24"/>
          <w:szCs w:val="24"/>
        </w:rPr>
        <w:t>Кипурова</w:t>
      </w:r>
      <w:proofErr w:type="spellEnd"/>
      <w:r w:rsidRPr="00A1208B">
        <w:rPr>
          <w:sz w:val="24"/>
          <w:szCs w:val="24"/>
        </w:rPr>
        <w:t xml:space="preserve"> Н.В. (действующий по доверенности </w:t>
      </w:r>
      <w:r w:rsidRPr="00A1208B">
        <w:rPr>
          <w:sz w:val="24"/>
          <w:szCs w:val="24"/>
        </w:rPr>
        <w:br/>
        <w:t>№ 69-04 от 16.04.2018) выразила возражение против экспертного заключения ЛенРТК в изложенном (прилагается) особом мнении (</w:t>
      </w:r>
      <w:proofErr w:type="spellStart"/>
      <w:r w:rsidRPr="00A1208B">
        <w:rPr>
          <w:sz w:val="24"/>
          <w:szCs w:val="24"/>
        </w:rPr>
        <w:t>вх</w:t>
      </w:r>
      <w:proofErr w:type="spellEnd"/>
      <w:r w:rsidRPr="00A1208B">
        <w:rPr>
          <w:sz w:val="24"/>
          <w:szCs w:val="24"/>
        </w:rPr>
        <w:t>.</w:t>
      </w:r>
      <w:proofErr w:type="gramEnd"/>
      <w:r w:rsidRPr="00A1208B">
        <w:rPr>
          <w:sz w:val="24"/>
          <w:szCs w:val="24"/>
        </w:rPr>
        <w:t xml:space="preserve"> ЛенРТК от 11.05.2018 № КТ-1-2833/2018).</w:t>
      </w:r>
    </w:p>
    <w:p w:rsidR="00A1208B" w:rsidRPr="00A1208B" w:rsidRDefault="00A1208B" w:rsidP="00A1208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A1208B" w:rsidRPr="00A1208B" w:rsidRDefault="00A1208B" w:rsidP="00A1208B">
      <w:pPr>
        <w:spacing w:line="0" w:lineRule="atLeast"/>
        <w:ind w:firstLine="709"/>
        <w:jc w:val="both"/>
        <w:rPr>
          <w:b/>
          <w:snapToGrid w:val="0"/>
          <w:sz w:val="24"/>
          <w:szCs w:val="24"/>
        </w:rPr>
      </w:pPr>
      <w:r w:rsidRPr="00A1208B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A1208B" w:rsidRPr="00A1208B" w:rsidRDefault="00A1208B" w:rsidP="00A120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1208B">
        <w:rPr>
          <w:rFonts w:eastAsia="Calibri"/>
          <w:sz w:val="24"/>
          <w:szCs w:val="24"/>
          <w:lang w:eastAsia="en-US"/>
        </w:rPr>
        <w:t xml:space="preserve">Принять во внимание возражения </w:t>
      </w:r>
      <w:r w:rsidRPr="00A1208B">
        <w:rPr>
          <w:sz w:val="24"/>
          <w:szCs w:val="24"/>
        </w:rPr>
        <w:t>АО «Газпром газораспределение Ленинградская область»</w:t>
      </w:r>
      <w:r w:rsidR="00934879">
        <w:rPr>
          <w:sz w:val="24"/>
          <w:szCs w:val="24"/>
        </w:rPr>
        <w:t>,</w:t>
      </w:r>
      <w:r w:rsidRPr="00A1208B">
        <w:rPr>
          <w:rFonts w:eastAsia="Calibri"/>
          <w:sz w:val="24"/>
          <w:szCs w:val="24"/>
          <w:lang w:eastAsia="en-US"/>
        </w:rPr>
        <w:t xml:space="preserve"> изложенные в особом мнении </w:t>
      </w:r>
      <w:r w:rsidRPr="00A1208B">
        <w:rPr>
          <w:sz w:val="24"/>
          <w:szCs w:val="24"/>
        </w:rPr>
        <w:t>(</w:t>
      </w:r>
      <w:proofErr w:type="spellStart"/>
      <w:r w:rsidRPr="00A1208B">
        <w:rPr>
          <w:sz w:val="24"/>
          <w:szCs w:val="24"/>
        </w:rPr>
        <w:t>вх</w:t>
      </w:r>
      <w:proofErr w:type="spellEnd"/>
      <w:r w:rsidRPr="00A1208B">
        <w:rPr>
          <w:sz w:val="24"/>
          <w:szCs w:val="24"/>
        </w:rPr>
        <w:t>.</w:t>
      </w:r>
      <w:proofErr w:type="gramEnd"/>
      <w:r w:rsidRPr="00A1208B">
        <w:rPr>
          <w:sz w:val="24"/>
          <w:szCs w:val="24"/>
        </w:rPr>
        <w:t xml:space="preserve"> ЛенРТК от 11.05.2018 № КТ-1-2833/2018)</w:t>
      </w:r>
      <w:r w:rsidR="00934879">
        <w:rPr>
          <w:sz w:val="24"/>
          <w:szCs w:val="24"/>
        </w:rPr>
        <w:t>,</w:t>
      </w:r>
      <w:r w:rsidRPr="00A1208B">
        <w:rPr>
          <w:sz w:val="24"/>
          <w:szCs w:val="24"/>
        </w:rPr>
        <w:t xml:space="preserve"> и </w:t>
      </w:r>
      <w:r w:rsidRPr="00A1208B">
        <w:rPr>
          <w:rFonts w:eastAsia="Calibri"/>
          <w:sz w:val="24"/>
          <w:szCs w:val="24"/>
          <w:lang w:eastAsia="en-US"/>
        </w:rPr>
        <w:t>отложить рассмотрение вопроса для более детального изучения.</w:t>
      </w:r>
    </w:p>
    <w:p w:rsidR="00A1208B" w:rsidRPr="00A1208B" w:rsidRDefault="00A1208B" w:rsidP="00A1208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1208B" w:rsidRPr="00A1208B" w:rsidRDefault="00A1208B" w:rsidP="00A1208B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A1208B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A1208B" w:rsidRPr="00A1208B" w:rsidRDefault="00A1208B" w:rsidP="00A1208B">
      <w:pPr>
        <w:tabs>
          <w:tab w:val="left" w:pos="993"/>
        </w:tabs>
        <w:spacing w:line="0" w:lineRule="atLeast"/>
        <w:ind w:firstLine="709"/>
        <w:jc w:val="both"/>
        <w:rPr>
          <w:sz w:val="22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A1208B">
        <w:rPr>
          <w:b/>
          <w:bCs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A1208B">
        <w:rPr>
          <w:b/>
          <w:bCs/>
          <w:sz w:val="24"/>
          <w:szCs w:val="24"/>
        </w:rPr>
        <w:t>индивидуальному проекту</w:t>
      </w:r>
      <w:proofErr w:type="gramEnd"/>
      <w:r w:rsidRPr="00A1208B">
        <w:rPr>
          <w:b/>
          <w:bCs/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Гатчинский муниципальный район, </w:t>
      </w:r>
      <w:proofErr w:type="spellStart"/>
      <w:r w:rsidRPr="00A1208B">
        <w:rPr>
          <w:b/>
          <w:bCs/>
          <w:sz w:val="24"/>
          <w:szCs w:val="24"/>
        </w:rPr>
        <w:t>Сиверское</w:t>
      </w:r>
      <w:proofErr w:type="spellEnd"/>
      <w:r w:rsidRPr="00A1208B">
        <w:rPr>
          <w:b/>
          <w:bCs/>
          <w:sz w:val="24"/>
          <w:szCs w:val="24"/>
        </w:rPr>
        <w:t xml:space="preserve"> городское поселение, </w:t>
      </w:r>
      <w:proofErr w:type="spellStart"/>
      <w:r w:rsidRPr="00A1208B">
        <w:rPr>
          <w:b/>
          <w:bCs/>
          <w:sz w:val="24"/>
          <w:szCs w:val="24"/>
        </w:rPr>
        <w:t>г.п</w:t>
      </w:r>
      <w:proofErr w:type="spellEnd"/>
      <w:r w:rsidRPr="00A1208B">
        <w:rPr>
          <w:b/>
          <w:bCs/>
          <w:sz w:val="24"/>
          <w:szCs w:val="24"/>
        </w:rPr>
        <w:t xml:space="preserve">. </w:t>
      </w:r>
      <w:proofErr w:type="gramStart"/>
      <w:r w:rsidRPr="00A1208B">
        <w:rPr>
          <w:b/>
          <w:bCs/>
          <w:sz w:val="24"/>
          <w:szCs w:val="24"/>
        </w:rPr>
        <w:t>Сиверский, ул. Славы, участок 29, (</w:t>
      </w:r>
      <w:proofErr w:type="spellStart"/>
      <w:r w:rsidRPr="00A1208B">
        <w:rPr>
          <w:b/>
          <w:bCs/>
          <w:sz w:val="24"/>
          <w:szCs w:val="24"/>
        </w:rPr>
        <w:t>кад</w:t>
      </w:r>
      <w:proofErr w:type="spellEnd"/>
      <w:r w:rsidRPr="00A1208B">
        <w:rPr>
          <w:b/>
          <w:bCs/>
          <w:sz w:val="24"/>
          <w:szCs w:val="24"/>
        </w:rPr>
        <w:t xml:space="preserve">. </w:t>
      </w:r>
      <w:r w:rsidRPr="00A1208B">
        <w:rPr>
          <w:b/>
          <w:bCs/>
          <w:sz w:val="24"/>
          <w:szCs w:val="24"/>
        </w:rPr>
        <w:br/>
        <w:t xml:space="preserve">№ 47:23:0907001:1059)» </w:t>
      </w:r>
      <w:r w:rsidRPr="00A1208B">
        <w:rPr>
          <w:bCs/>
          <w:sz w:val="24"/>
          <w:szCs w:val="24"/>
        </w:rPr>
        <w:t>выступил</w:t>
      </w:r>
      <w:r w:rsidRPr="00A1208B">
        <w:rPr>
          <w:b/>
          <w:sz w:val="24"/>
          <w:szCs w:val="24"/>
        </w:rPr>
        <w:t xml:space="preserve"> </w:t>
      </w:r>
      <w:r w:rsidRPr="00A1208B">
        <w:rPr>
          <w:sz w:val="24"/>
          <w:szCs w:val="24"/>
        </w:rPr>
        <w:t xml:space="preserve">ведущий специалист </w:t>
      </w:r>
      <w:r w:rsidRPr="00A1208B"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 w:rsidRPr="00A1208B">
        <w:rPr>
          <w:sz w:val="24"/>
          <w:szCs w:val="24"/>
        </w:rPr>
        <w:t xml:space="preserve">, изложив основные положения экспертного заключения по рассмотрению материалов по расчету уровня платы за технологическое присоединение </w:t>
      </w:r>
      <w:r w:rsidRPr="00A1208B">
        <w:rPr>
          <w:bCs/>
          <w:sz w:val="24"/>
          <w:szCs w:val="24"/>
        </w:rPr>
        <w:t>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индивидуальному проекту:</w:t>
      </w:r>
      <w:proofErr w:type="gramEnd"/>
      <w:r w:rsidRPr="00A1208B">
        <w:rPr>
          <w:bCs/>
          <w:sz w:val="24"/>
          <w:szCs w:val="24"/>
        </w:rPr>
        <w:t xml:space="preserve"> «Газопровод-ввод до границ земельного участка, расположенного по адресу: Ленинградская область, Гатчинский муниципальный район, </w:t>
      </w:r>
      <w:proofErr w:type="spellStart"/>
      <w:r w:rsidRPr="00A1208B">
        <w:rPr>
          <w:bCs/>
          <w:sz w:val="24"/>
          <w:szCs w:val="24"/>
        </w:rPr>
        <w:t>Сиверское</w:t>
      </w:r>
      <w:proofErr w:type="spellEnd"/>
      <w:r w:rsidRPr="00A1208B">
        <w:rPr>
          <w:bCs/>
          <w:sz w:val="24"/>
          <w:szCs w:val="24"/>
        </w:rPr>
        <w:t xml:space="preserve"> городское поселение, </w:t>
      </w:r>
      <w:proofErr w:type="spellStart"/>
      <w:r w:rsidRPr="00A1208B">
        <w:rPr>
          <w:bCs/>
          <w:sz w:val="24"/>
          <w:szCs w:val="24"/>
        </w:rPr>
        <w:t>г.п</w:t>
      </w:r>
      <w:proofErr w:type="spellEnd"/>
      <w:r w:rsidRPr="00A1208B">
        <w:rPr>
          <w:bCs/>
          <w:sz w:val="24"/>
          <w:szCs w:val="24"/>
        </w:rPr>
        <w:t xml:space="preserve">. </w:t>
      </w:r>
      <w:proofErr w:type="gramStart"/>
      <w:r w:rsidRPr="00A1208B">
        <w:rPr>
          <w:bCs/>
          <w:sz w:val="24"/>
          <w:szCs w:val="24"/>
        </w:rPr>
        <w:t>Сиверский, ул. Славы, участок 29, (</w:t>
      </w:r>
      <w:proofErr w:type="spellStart"/>
      <w:r w:rsidRPr="00A1208B">
        <w:rPr>
          <w:bCs/>
          <w:sz w:val="24"/>
          <w:szCs w:val="24"/>
        </w:rPr>
        <w:t>кад</w:t>
      </w:r>
      <w:proofErr w:type="spellEnd"/>
      <w:r w:rsidRPr="00A1208B">
        <w:rPr>
          <w:bCs/>
          <w:sz w:val="24"/>
          <w:szCs w:val="24"/>
        </w:rPr>
        <w:t>. № 47:23:0907001:1059)»</w:t>
      </w:r>
      <w:r w:rsidRPr="00A1208B">
        <w:rPr>
          <w:sz w:val="24"/>
          <w:szCs w:val="24"/>
        </w:rPr>
        <w:t xml:space="preserve">, в соответствии с заявлением АО «Газпром газораспределение </w:t>
      </w:r>
      <w:r w:rsidRPr="00A1208B">
        <w:rPr>
          <w:bCs/>
          <w:sz w:val="24"/>
          <w:szCs w:val="24"/>
        </w:rPr>
        <w:t>Ленинградская область» исх. от 15.03.2018 № СП-31/1857</w:t>
      </w:r>
      <w:r w:rsidRPr="00A1208B">
        <w:rPr>
          <w:sz w:val="24"/>
          <w:szCs w:val="24"/>
        </w:rPr>
        <w:t xml:space="preserve"> (</w:t>
      </w:r>
      <w:proofErr w:type="spellStart"/>
      <w:r w:rsidRPr="00A1208B">
        <w:rPr>
          <w:sz w:val="24"/>
          <w:szCs w:val="28"/>
        </w:rPr>
        <w:t>вх</w:t>
      </w:r>
      <w:proofErr w:type="spellEnd"/>
      <w:r w:rsidRPr="00A1208B">
        <w:rPr>
          <w:sz w:val="24"/>
          <w:szCs w:val="28"/>
        </w:rPr>
        <w:t>.</w:t>
      </w:r>
      <w:proofErr w:type="gramEnd"/>
      <w:r w:rsidRPr="00A1208B">
        <w:rPr>
          <w:sz w:val="24"/>
          <w:szCs w:val="28"/>
        </w:rPr>
        <w:t xml:space="preserve"> ЛенРТК от 19.03.2018 № КТ-1-1394/2018</w:t>
      </w:r>
      <w:r w:rsidRPr="00A1208B">
        <w:rPr>
          <w:sz w:val="22"/>
          <w:szCs w:val="24"/>
        </w:rPr>
        <w:t>).</w:t>
      </w:r>
    </w:p>
    <w:p w:rsidR="00A1208B" w:rsidRPr="00A1208B" w:rsidRDefault="00A1208B" w:rsidP="00A120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1208B">
        <w:rPr>
          <w:sz w:val="24"/>
          <w:szCs w:val="24"/>
        </w:rPr>
        <w:t xml:space="preserve">Присутствующий на заседании Правления ЛенРТК представитель АО «Газпром газораспределение Ленинградская область» </w:t>
      </w:r>
      <w:proofErr w:type="spellStart"/>
      <w:r w:rsidRPr="00A1208B">
        <w:rPr>
          <w:sz w:val="24"/>
          <w:szCs w:val="24"/>
        </w:rPr>
        <w:t>Кипурова</w:t>
      </w:r>
      <w:proofErr w:type="spellEnd"/>
      <w:r w:rsidRPr="00A1208B">
        <w:rPr>
          <w:sz w:val="24"/>
          <w:szCs w:val="24"/>
        </w:rPr>
        <w:t xml:space="preserve"> Н.В. (действующий по доверенности </w:t>
      </w:r>
      <w:r w:rsidRPr="00A1208B">
        <w:rPr>
          <w:sz w:val="24"/>
          <w:szCs w:val="24"/>
        </w:rPr>
        <w:br/>
        <w:t>№ 69-04 от 16.04.2018) выразил возражение против экспертного заключения ЛенРТК в изложенном (прилагается) особом мнении (</w:t>
      </w:r>
      <w:proofErr w:type="spellStart"/>
      <w:r w:rsidRPr="00A1208B">
        <w:rPr>
          <w:sz w:val="24"/>
          <w:szCs w:val="24"/>
        </w:rPr>
        <w:t>вх</w:t>
      </w:r>
      <w:proofErr w:type="spellEnd"/>
      <w:r w:rsidRPr="00A1208B">
        <w:rPr>
          <w:sz w:val="24"/>
          <w:szCs w:val="24"/>
        </w:rPr>
        <w:t>.</w:t>
      </w:r>
      <w:proofErr w:type="gramEnd"/>
      <w:r w:rsidRPr="00A1208B">
        <w:rPr>
          <w:sz w:val="24"/>
          <w:szCs w:val="24"/>
        </w:rPr>
        <w:t xml:space="preserve"> ЛенРТК от 11.05.2018 № КТ-1-2835/2018).</w:t>
      </w:r>
    </w:p>
    <w:p w:rsidR="00A1208B" w:rsidRPr="00A1208B" w:rsidRDefault="00A1208B" w:rsidP="00A1208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A1208B" w:rsidRPr="00A1208B" w:rsidRDefault="00A1208B" w:rsidP="00A1208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A1208B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A1208B" w:rsidRPr="00A1208B" w:rsidRDefault="00A1208B" w:rsidP="00A1208B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A1208B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за технологическое присоединение </w:t>
      </w:r>
      <w:r w:rsidRPr="00A1208B">
        <w:rPr>
          <w:bCs/>
          <w:sz w:val="24"/>
          <w:szCs w:val="24"/>
        </w:rPr>
        <w:t xml:space="preserve">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A1208B">
        <w:rPr>
          <w:bCs/>
          <w:sz w:val="24"/>
          <w:szCs w:val="24"/>
        </w:rPr>
        <w:t>индивидуальному проекту</w:t>
      </w:r>
      <w:proofErr w:type="gramEnd"/>
      <w:r w:rsidRPr="00A1208B">
        <w:rPr>
          <w:bCs/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Гатчинский муниципальный район, </w:t>
      </w:r>
      <w:proofErr w:type="spellStart"/>
      <w:r w:rsidRPr="00A1208B">
        <w:rPr>
          <w:bCs/>
          <w:sz w:val="24"/>
          <w:szCs w:val="24"/>
        </w:rPr>
        <w:t>Сиверское</w:t>
      </w:r>
      <w:proofErr w:type="spellEnd"/>
      <w:r w:rsidRPr="00A1208B">
        <w:rPr>
          <w:bCs/>
          <w:sz w:val="24"/>
          <w:szCs w:val="24"/>
        </w:rPr>
        <w:t xml:space="preserve"> городское поселение, </w:t>
      </w:r>
      <w:proofErr w:type="spellStart"/>
      <w:r w:rsidRPr="00A1208B">
        <w:rPr>
          <w:bCs/>
          <w:sz w:val="24"/>
          <w:szCs w:val="24"/>
        </w:rPr>
        <w:t>г.п</w:t>
      </w:r>
      <w:proofErr w:type="spellEnd"/>
      <w:r w:rsidRPr="00A1208B">
        <w:rPr>
          <w:bCs/>
          <w:sz w:val="24"/>
          <w:szCs w:val="24"/>
        </w:rPr>
        <w:t xml:space="preserve">. </w:t>
      </w:r>
      <w:proofErr w:type="gramStart"/>
      <w:r w:rsidRPr="00A1208B">
        <w:rPr>
          <w:bCs/>
          <w:sz w:val="24"/>
          <w:szCs w:val="24"/>
        </w:rPr>
        <w:t>Сиверский, ул. Славы, участок 29, (</w:t>
      </w:r>
      <w:proofErr w:type="spellStart"/>
      <w:r w:rsidRPr="00A1208B">
        <w:rPr>
          <w:bCs/>
          <w:sz w:val="24"/>
          <w:szCs w:val="24"/>
        </w:rPr>
        <w:t>кад</w:t>
      </w:r>
      <w:proofErr w:type="spellEnd"/>
      <w:r w:rsidRPr="00A1208B">
        <w:rPr>
          <w:bCs/>
          <w:sz w:val="24"/>
          <w:szCs w:val="24"/>
        </w:rPr>
        <w:t>. № 47:23:0907001:1059)»</w:t>
      </w:r>
      <w:r w:rsidRPr="00A1208B">
        <w:rPr>
          <w:sz w:val="24"/>
          <w:szCs w:val="24"/>
        </w:rPr>
        <w:t xml:space="preserve">, в соответствии с заявлением АО «Газпром газораспределение </w:t>
      </w:r>
      <w:r w:rsidRPr="00A1208B">
        <w:rPr>
          <w:bCs/>
          <w:sz w:val="24"/>
          <w:szCs w:val="24"/>
        </w:rPr>
        <w:t>Ленинградская область» исх. от 15.03.2018 № СП-31/1857</w:t>
      </w:r>
      <w:r w:rsidRPr="00A1208B">
        <w:rPr>
          <w:sz w:val="24"/>
          <w:szCs w:val="24"/>
        </w:rPr>
        <w:t xml:space="preserve">  (</w:t>
      </w:r>
      <w:proofErr w:type="spellStart"/>
      <w:r w:rsidRPr="00A1208B">
        <w:rPr>
          <w:sz w:val="24"/>
          <w:szCs w:val="28"/>
        </w:rPr>
        <w:t>вх</w:t>
      </w:r>
      <w:proofErr w:type="spellEnd"/>
      <w:r w:rsidRPr="00A1208B">
        <w:rPr>
          <w:sz w:val="24"/>
          <w:szCs w:val="28"/>
        </w:rPr>
        <w:t>.</w:t>
      </w:r>
      <w:proofErr w:type="gramEnd"/>
      <w:r w:rsidRPr="00A1208B">
        <w:rPr>
          <w:sz w:val="24"/>
          <w:szCs w:val="28"/>
        </w:rPr>
        <w:t xml:space="preserve"> ЛенРТК от 19.03.2018                              № КТ-1-1394/2018</w:t>
      </w:r>
      <w:r w:rsidRPr="00A1208B">
        <w:rPr>
          <w:sz w:val="22"/>
          <w:szCs w:val="24"/>
        </w:rPr>
        <w:t>)</w:t>
      </w:r>
      <w:r w:rsidRPr="00A1208B">
        <w:rPr>
          <w:bCs/>
          <w:sz w:val="24"/>
          <w:szCs w:val="24"/>
        </w:rPr>
        <w:t xml:space="preserve">, </w:t>
      </w:r>
      <w:r w:rsidRPr="00A1208B">
        <w:rPr>
          <w:sz w:val="24"/>
          <w:szCs w:val="24"/>
        </w:rPr>
        <w:t xml:space="preserve">с максимальным расходом газа </w:t>
      </w:r>
      <w:r w:rsidRPr="00A1208B">
        <w:rPr>
          <w:sz w:val="24"/>
          <w:szCs w:val="28"/>
        </w:rPr>
        <w:t xml:space="preserve">2,47 </w:t>
      </w:r>
      <w:r w:rsidRPr="00A1208B">
        <w:rPr>
          <w:sz w:val="24"/>
          <w:szCs w:val="24"/>
        </w:rPr>
        <w:t>метров кубических в час и проектным рабочим давлением в присоединяемом  газопроводе 0,3-0,6 МПа, в размере 58 401,70 руб. (без НДС)</w:t>
      </w:r>
      <w:r w:rsidRPr="00A1208B">
        <w:rPr>
          <w:snapToGrid w:val="0"/>
          <w:sz w:val="24"/>
          <w:szCs w:val="24"/>
        </w:rPr>
        <w:t>.</w:t>
      </w:r>
    </w:p>
    <w:p w:rsidR="00A1208B" w:rsidRPr="00A1208B" w:rsidRDefault="00A1208B" w:rsidP="00A1208B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1208B">
        <w:rPr>
          <w:snapToGrid w:val="0"/>
          <w:sz w:val="24"/>
          <w:szCs w:val="24"/>
        </w:rPr>
        <w:t xml:space="preserve">2. Установить плату за технологическое присоединение </w:t>
      </w:r>
      <w:r w:rsidRPr="00A1208B">
        <w:rPr>
          <w:bCs/>
          <w:sz w:val="24"/>
          <w:szCs w:val="24"/>
        </w:rPr>
        <w:t xml:space="preserve">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A1208B">
        <w:rPr>
          <w:bCs/>
          <w:sz w:val="24"/>
          <w:szCs w:val="24"/>
        </w:rPr>
        <w:t>индивидуальному проекту</w:t>
      </w:r>
      <w:proofErr w:type="gramEnd"/>
      <w:r w:rsidRPr="00A1208B">
        <w:rPr>
          <w:bCs/>
          <w:sz w:val="24"/>
          <w:szCs w:val="24"/>
        </w:rPr>
        <w:t xml:space="preserve">: «Газопровод-ввод до </w:t>
      </w:r>
      <w:r w:rsidRPr="00A1208B">
        <w:rPr>
          <w:bCs/>
          <w:sz w:val="24"/>
          <w:szCs w:val="24"/>
        </w:rPr>
        <w:lastRenderedPageBreak/>
        <w:t xml:space="preserve">границ земельного участка, расположенного по адресу: Ленинградская область, Гатчинский муниципальный район, </w:t>
      </w:r>
      <w:proofErr w:type="spellStart"/>
      <w:r w:rsidRPr="00A1208B">
        <w:rPr>
          <w:bCs/>
          <w:sz w:val="24"/>
          <w:szCs w:val="24"/>
        </w:rPr>
        <w:t>Сиверское</w:t>
      </w:r>
      <w:proofErr w:type="spellEnd"/>
      <w:r w:rsidRPr="00A1208B">
        <w:rPr>
          <w:bCs/>
          <w:sz w:val="24"/>
          <w:szCs w:val="24"/>
        </w:rPr>
        <w:t xml:space="preserve"> городское поселение, </w:t>
      </w:r>
      <w:proofErr w:type="spellStart"/>
      <w:r w:rsidRPr="00A1208B">
        <w:rPr>
          <w:bCs/>
          <w:sz w:val="24"/>
          <w:szCs w:val="24"/>
        </w:rPr>
        <w:t>г.п</w:t>
      </w:r>
      <w:proofErr w:type="spellEnd"/>
      <w:r w:rsidRPr="00A1208B">
        <w:rPr>
          <w:bCs/>
          <w:sz w:val="24"/>
          <w:szCs w:val="24"/>
        </w:rPr>
        <w:t xml:space="preserve">. </w:t>
      </w:r>
      <w:proofErr w:type="gramStart"/>
      <w:r w:rsidRPr="00A1208B">
        <w:rPr>
          <w:bCs/>
          <w:sz w:val="24"/>
          <w:szCs w:val="24"/>
        </w:rPr>
        <w:t>Сиверский, ул. Славы, участок 29, (</w:t>
      </w:r>
      <w:proofErr w:type="spellStart"/>
      <w:r w:rsidRPr="00A1208B">
        <w:rPr>
          <w:bCs/>
          <w:sz w:val="24"/>
          <w:szCs w:val="24"/>
        </w:rPr>
        <w:t>кад</w:t>
      </w:r>
      <w:proofErr w:type="spellEnd"/>
      <w:r w:rsidRPr="00A1208B">
        <w:rPr>
          <w:bCs/>
          <w:sz w:val="24"/>
          <w:szCs w:val="24"/>
        </w:rPr>
        <w:t>. № 47:23:0907001:1059)»</w:t>
      </w:r>
      <w:r w:rsidRPr="00A1208B">
        <w:rPr>
          <w:sz w:val="24"/>
          <w:szCs w:val="24"/>
        </w:rPr>
        <w:t xml:space="preserve">, в соответствии с заявлением АО «Газпром газораспределение </w:t>
      </w:r>
      <w:r w:rsidRPr="00A1208B">
        <w:rPr>
          <w:bCs/>
          <w:sz w:val="24"/>
          <w:szCs w:val="24"/>
        </w:rPr>
        <w:t>Ленинградская область» исх. от 15.03.2018 № СП-31/1857</w:t>
      </w:r>
      <w:r w:rsidRPr="00A1208B">
        <w:rPr>
          <w:sz w:val="24"/>
          <w:szCs w:val="24"/>
        </w:rPr>
        <w:t xml:space="preserve"> (</w:t>
      </w:r>
      <w:proofErr w:type="spellStart"/>
      <w:r w:rsidRPr="00A1208B">
        <w:rPr>
          <w:sz w:val="24"/>
          <w:szCs w:val="28"/>
        </w:rPr>
        <w:t>вх</w:t>
      </w:r>
      <w:proofErr w:type="spellEnd"/>
      <w:r w:rsidRPr="00A1208B">
        <w:rPr>
          <w:sz w:val="24"/>
          <w:szCs w:val="28"/>
        </w:rPr>
        <w:t>.</w:t>
      </w:r>
      <w:proofErr w:type="gramEnd"/>
      <w:r w:rsidRPr="00A1208B">
        <w:rPr>
          <w:sz w:val="24"/>
          <w:szCs w:val="28"/>
        </w:rPr>
        <w:t xml:space="preserve"> ЛенРТК от 19.03.2018                              № КТ-1-1394/2018</w:t>
      </w:r>
      <w:r w:rsidRPr="00A1208B">
        <w:rPr>
          <w:sz w:val="22"/>
          <w:szCs w:val="24"/>
        </w:rPr>
        <w:t>)</w:t>
      </w:r>
      <w:r w:rsidRPr="00A1208B">
        <w:rPr>
          <w:bCs/>
          <w:sz w:val="24"/>
          <w:szCs w:val="24"/>
        </w:rPr>
        <w:t xml:space="preserve">, </w:t>
      </w:r>
      <w:r w:rsidRPr="00A1208B">
        <w:rPr>
          <w:sz w:val="24"/>
          <w:szCs w:val="24"/>
        </w:rPr>
        <w:t xml:space="preserve">с максимальным расходом газа </w:t>
      </w:r>
      <w:r w:rsidRPr="00A1208B">
        <w:rPr>
          <w:sz w:val="24"/>
          <w:szCs w:val="28"/>
        </w:rPr>
        <w:t xml:space="preserve">2,47 </w:t>
      </w:r>
      <w:r w:rsidRPr="00A1208B">
        <w:rPr>
          <w:sz w:val="24"/>
          <w:szCs w:val="24"/>
        </w:rPr>
        <w:t>метров кубических в час и проектным рабочим давлением в присоединяемом  газопроводе 0,3-0,6 МПа, в размере 58 401,70 руб.                 (без НДС)</w:t>
      </w:r>
      <w:r w:rsidRPr="00A1208B">
        <w:rPr>
          <w:snapToGrid w:val="0"/>
          <w:sz w:val="24"/>
          <w:szCs w:val="24"/>
        </w:rPr>
        <w:t>,</w:t>
      </w:r>
      <w:r w:rsidRPr="00A1208B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208B">
              <w:rPr>
                <w:b/>
                <w:color w:val="000000"/>
              </w:rPr>
              <w:t xml:space="preserve">№ </w:t>
            </w:r>
            <w:proofErr w:type="gramStart"/>
            <w:r w:rsidRPr="00A1208B">
              <w:rPr>
                <w:b/>
                <w:color w:val="000000"/>
              </w:rPr>
              <w:t>п</w:t>
            </w:r>
            <w:proofErr w:type="gramEnd"/>
            <w:r w:rsidRPr="00A1208B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208B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b/>
                <w:bCs/>
              </w:rPr>
            </w:pPr>
            <w:r w:rsidRPr="00A1208B">
              <w:rPr>
                <w:b/>
                <w:bCs/>
              </w:rPr>
              <w:t>Планируемые расходы, руб.</w:t>
            </w:r>
          </w:p>
          <w:p w:rsidR="00A1208B" w:rsidRPr="00A1208B" w:rsidRDefault="00A1208B" w:rsidP="00A1208B">
            <w:pPr>
              <w:jc w:val="center"/>
              <w:rPr>
                <w:b/>
                <w:bCs/>
              </w:rPr>
            </w:pPr>
            <w:r w:rsidRPr="00A1208B">
              <w:rPr>
                <w:b/>
                <w:bCs/>
              </w:rPr>
              <w:t>(без НДС)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208B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b/>
                <w:bCs/>
                <w:color w:val="000000"/>
              </w:rPr>
            </w:pPr>
            <w:r w:rsidRPr="00A1208B">
              <w:rPr>
                <w:b/>
                <w:bCs/>
                <w:color w:val="000000"/>
              </w:rPr>
              <w:t>58 401,70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12 369,59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16 197,37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16 197,37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16 197,37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2.2.2.1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109 мм и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16 197,37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2.2.2.2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110 - 159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2.2.2.3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160 - 224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2.2.2.4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225 - 314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2.2.2.5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315 - 399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2.2.2.6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400 мм и выше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2.5.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0,00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8 238,33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9 916,07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Эффективная ставка налога на прибыль*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20</w:t>
            </w:r>
          </w:p>
        </w:tc>
      </w:tr>
      <w:tr w:rsidR="00A1208B" w:rsidRPr="00A1208B" w:rsidTr="00A1208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08B" w:rsidRPr="00A1208B" w:rsidRDefault="00A1208B" w:rsidP="00A1208B">
            <w:pPr>
              <w:ind w:left="-93" w:right="-108"/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6.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1208B" w:rsidRPr="00A1208B" w:rsidRDefault="00A1208B" w:rsidP="00A1208B">
            <w:pPr>
              <w:ind w:right="-108"/>
              <w:rPr>
                <w:color w:val="000000"/>
              </w:rPr>
            </w:pPr>
            <w:r w:rsidRPr="00A1208B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208B" w:rsidRPr="00A1208B" w:rsidRDefault="00A1208B" w:rsidP="00A1208B">
            <w:pPr>
              <w:jc w:val="center"/>
              <w:rPr>
                <w:color w:val="000000"/>
              </w:rPr>
            </w:pPr>
            <w:r w:rsidRPr="00A1208B">
              <w:rPr>
                <w:color w:val="000000"/>
              </w:rPr>
              <w:t>11 680,34</w:t>
            </w:r>
          </w:p>
        </w:tc>
      </w:tr>
    </w:tbl>
    <w:p w:rsidR="00A1208B" w:rsidRPr="00A1208B" w:rsidRDefault="00A1208B" w:rsidP="00A1208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1208B" w:rsidRPr="00A1208B" w:rsidRDefault="00A1208B" w:rsidP="00A1208B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A1208B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A1208B" w:rsidRDefault="00A1208B" w:rsidP="00A1208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Ленинградской области от 13 октября 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</w:t>
      </w:r>
      <w:r>
        <w:rPr>
          <w:sz w:val="24"/>
          <w:szCs w:val="24"/>
        </w:rPr>
        <w:t xml:space="preserve">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>
        <w:rPr>
          <w:sz w:val="24"/>
          <w:szCs w:val="24"/>
        </w:rPr>
        <w:t>Малерчук</w:t>
      </w:r>
      <w:proofErr w:type="spellEnd"/>
      <w:r>
        <w:rPr>
          <w:sz w:val="24"/>
          <w:szCs w:val="24"/>
        </w:rPr>
        <w:t xml:space="preserve"> И.В., сообщила, что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п. 231 Основных положений  функционирования розничных рынков электрической энергии, утвержденных постановлением  Правительства РФ от 04.05.2012 № 442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(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организации, хозяйствующего субъекта), по которым определяются границы зоны деятельности соответствующего гарантирующего поставщика, в случае если такое изменение границ балансовой принадлежности объектов электросетевого хозяйства</w:t>
      </w:r>
      <w:proofErr w:type="gramEnd"/>
      <w:r>
        <w:rPr>
          <w:sz w:val="24"/>
          <w:szCs w:val="24"/>
        </w:rPr>
        <w:t xml:space="preserve"> произошло исключительно в результате строительства и ввода в эксплуатацию новых объектов электросетевого хозяйства сетевой организации (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организации, хозяйствующего субъекта). </w:t>
      </w:r>
    </w:p>
    <w:p w:rsidR="00A1208B" w:rsidRDefault="00A1208B" w:rsidP="00A120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</w:t>
      </w: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организации, хозяйствующего субъекта) с учетом объектов электросетевого хозяйства, вновь введенных в эксплуатацию.</w:t>
      </w:r>
    </w:p>
    <w:p w:rsidR="00A1208B" w:rsidRDefault="00A1208B" w:rsidP="00A120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ЛенРТК рассмотрено Заявление об изменении границ зоны деятельности гарантирующего поставщик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«РУСЭНЕРГОСБЫТ»  от 26.04.2018 № РЭС-П-03/69. В подтверждение ввода в действие объектов электросетевого хозяйства ОАО «РЖД» представлен Акт об осуществлении технологического присоединения от 30 ноября 2017 года № ЛЭ/16-50/1674 с указанием разграничения границ балансовой подписанные между ПАО «Ленэнерго» и ОАО «РЖД».</w:t>
      </w:r>
    </w:p>
    <w:p w:rsidR="00A1208B" w:rsidRDefault="00A1208B" w:rsidP="00A1208B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Присутствующий на заседании Правления ЛенРТК представитель </w:t>
      </w:r>
      <w:r>
        <w:rPr>
          <w:sz w:val="24"/>
          <w:szCs w:val="24"/>
        </w:rPr>
        <w:t xml:space="preserve">ООО «РУСЭНЕРГОСБЫТ» </w:t>
      </w:r>
      <w:proofErr w:type="spellStart"/>
      <w:r>
        <w:rPr>
          <w:sz w:val="24"/>
          <w:szCs w:val="24"/>
        </w:rPr>
        <w:t>Мильцариков</w:t>
      </w:r>
      <w:proofErr w:type="spellEnd"/>
      <w:r>
        <w:rPr>
          <w:sz w:val="24"/>
          <w:szCs w:val="24"/>
        </w:rPr>
        <w:t xml:space="preserve"> Андрей Владимирович</w:t>
      </w:r>
      <w:r>
        <w:rPr>
          <w:snapToGrid w:val="0"/>
          <w:sz w:val="24"/>
          <w:szCs w:val="24"/>
        </w:rPr>
        <w:t xml:space="preserve"> (действующий по доверенности </w:t>
      </w:r>
      <w:r>
        <w:rPr>
          <w:snapToGrid w:val="0"/>
          <w:sz w:val="24"/>
          <w:szCs w:val="24"/>
        </w:rPr>
        <w:br/>
        <w:t>№ РЭС-241/17 от 25.12.2017) выразил согласие с предложенн</w:t>
      </w:r>
      <w:r w:rsidR="00934879">
        <w:rPr>
          <w:snapToGrid w:val="0"/>
          <w:sz w:val="24"/>
          <w:szCs w:val="24"/>
        </w:rPr>
        <w:t>ым</w:t>
      </w:r>
      <w:r>
        <w:rPr>
          <w:snapToGrid w:val="0"/>
          <w:sz w:val="24"/>
          <w:szCs w:val="24"/>
        </w:rPr>
        <w:t xml:space="preserve"> ЛенРТК изменение</w:t>
      </w:r>
      <w:r w:rsidR="00934879">
        <w:rPr>
          <w:snapToGrid w:val="0"/>
          <w:sz w:val="24"/>
          <w:szCs w:val="24"/>
        </w:rPr>
        <w:t>м</w:t>
      </w:r>
      <w:r>
        <w:rPr>
          <w:snapToGrid w:val="0"/>
          <w:sz w:val="24"/>
          <w:szCs w:val="24"/>
        </w:rPr>
        <w:t xml:space="preserve"> в описание границ зоны деятельности гарантирующего поставщик</w:t>
      </w:r>
      <w:proofErr w:type="gramStart"/>
      <w:r>
        <w:rPr>
          <w:snapToGrid w:val="0"/>
          <w:sz w:val="24"/>
          <w:szCs w:val="24"/>
        </w:rPr>
        <w:t>а ООО</w:t>
      </w:r>
      <w:proofErr w:type="gramEnd"/>
      <w:r>
        <w:rPr>
          <w:snapToGrid w:val="0"/>
          <w:sz w:val="24"/>
          <w:szCs w:val="24"/>
        </w:rPr>
        <w:t xml:space="preserve"> «РУСЭНЕРГОСБЫТ».</w:t>
      </w:r>
    </w:p>
    <w:p w:rsidR="00A1208B" w:rsidRDefault="00A1208B" w:rsidP="00A1208B">
      <w:pPr>
        <w:ind w:firstLine="709"/>
        <w:jc w:val="both"/>
        <w:rPr>
          <w:b/>
          <w:snapToGrid w:val="0"/>
          <w:sz w:val="24"/>
          <w:szCs w:val="24"/>
        </w:rPr>
      </w:pPr>
    </w:p>
    <w:p w:rsidR="00A1208B" w:rsidRDefault="00A1208B" w:rsidP="00A1208B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A1208B" w:rsidRDefault="00934879" w:rsidP="00A1208B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</w:t>
      </w:r>
      <w:r w:rsidR="00A1208B">
        <w:rPr>
          <w:snapToGrid w:val="0"/>
          <w:sz w:val="24"/>
          <w:szCs w:val="24"/>
        </w:rPr>
        <w:t>нести изменение в описание границ зоны деятельности гарантирующего поставщик</w:t>
      </w:r>
      <w:proofErr w:type="gramStart"/>
      <w:r w:rsidR="00A1208B">
        <w:rPr>
          <w:snapToGrid w:val="0"/>
          <w:sz w:val="24"/>
          <w:szCs w:val="24"/>
        </w:rPr>
        <w:t>а ООО</w:t>
      </w:r>
      <w:proofErr w:type="gramEnd"/>
      <w:r w:rsidR="00A1208B">
        <w:rPr>
          <w:snapToGrid w:val="0"/>
          <w:sz w:val="24"/>
          <w:szCs w:val="24"/>
        </w:rPr>
        <w:t xml:space="preserve"> «РУСЭНЕРГОСБЫТ», изменив Приложение 1 приказа комитета по тарифам и ценовой политике Ленинградской области от 13 октября 2006 года № 100-п «О присвоении статуса гарантирующего поставщика обществу с ограниченной ответственностью «РУСЭНЕРГОСБЫТ» следующим образом:</w:t>
      </w:r>
    </w:p>
    <w:p w:rsidR="00A1208B" w:rsidRDefault="00A1208B" w:rsidP="00A1208B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строку 64.3 изложить в редакции:</w:t>
      </w:r>
    </w:p>
    <w:p w:rsidR="00A1208B" w:rsidRDefault="00A1208B" w:rsidP="00A1208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777"/>
        <w:gridCol w:w="2781"/>
      </w:tblGrid>
      <w:tr w:rsidR="00A1208B" w:rsidRPr="00A1208B" w:rsidTr="00A1208B">
        <w:trPr>
          <w:trHeight w:val="5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>64.3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 xml:space="preserve">ПС 110 </w:t>
            </w:r>
            <w:proofErr w:type="spellStart"/>
            <w:r w:rsidRPr="00A1208B">
              <w:rPr>
                <w:snapToGrid w:val="0"/>
              </w:rPr>
              <w:t>кВ</w:t>
            </w:r>
            <w:proofErr w:type="spellEnd"/>
            <w:r w:rsidRPr="00A1208B">
              <w:rPr>
                <w:snapToGrid w:val="0"/>
              </w:rPr>
              <w:t xml:space="preserve"> Возрождение (ПС 318) (110/10 </w:t>
            </w:r>
            <w:proofErr w:type="spellStart"/>
            <w:r w:rsidRPr="00A1208B">
              <w:rPr>
                <w:snapToGrid w:val="0"/>
              </w:rPr>
              <w:t>кВ</w:t>
            </w:r>
            <w:proofErr w:type="spellEnd"/>
            <w:r w:rsidRPr="00A1208B">
              <w:rPr>
                <w:snapToGrid w:val="0"/>
              </w:rPr>
              <w:t>);</w:t>
            </w:r>
          </w:p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>На контактах присоединения КЛ-10кВ в яч.103 РУ-10кВ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> </w:t>
            </w:r>
          </w:p>
        </w:tc>
      </w:tr>
    </w:tbl>
    <w:p w:rsidR="00A1208B" w:rsidRDefault="00A1208B" w:rsidP="00A1208B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»;</w:t>
      </w:r>
    </w:p>
    <w:p w:rsidR="00A1208B" w:rsidRDefault="00A1208B" w:rsidP="00A1208B">
      <w:pPr>
        <w:numPr>
          <w:ilvl w:val="1"/>
          <w:numId w:val="3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дополнить строкой следующего содержания</w:t>
      </w:r>
    </w:p>
    <w:p w:rsidR="00A1208B" w:rsidRDefault="00A1208B" w:rsidP="00A1208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777"/>
        <w:gridCol w:w="2781"/>
      </w:tblGrid>
      <w:tr w:rsidR="00A1208B" w:rsidRPr="00A1208B" w:rsidTr="00A1208B">
        <w:trPr>
          <w:trHeight w:val="3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>64.4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 xml:space="preserve">ПС 110 </w:t>
            </w:r>
            <w:proofErr w:type="spellStart"/>
            <w:r w:rsidRPr="00A1208B">
              <w:rPr>
                <w:snapToGrid w:val="0"/>
              </w:rPr>
              <w:t>кВ</w:t>
            </w:r>
            <w:proofErr w:type="spellEnd"/>
            <w:r w:rsidRPr="00A1208B">
              <w:rPr>
                <w:snapToGrid w:val="0"/>
              </w:rPr>
              <w:t xml:space="preserve"> Возрождение (ПС 318) (110/10 </w:t>
            </w:r>
            <w:proofErr w:type="spellStart"/>
            <w:r w:rsidRPr="00A1208B">
              <w:rPr>
                <w:snapToGrid w:val="0"/>
              </w:rPr>
              <w:t>кВ</w:t>
            </w:r>
            <w:proofErr w:type="spellEnd"/>
            <w:r w:rsidRPr="00A1208B">
              <w:rPr>
                <w:snapToGrid w:val="0"/>
              </w:rPr>
              <w:t>);</w:t>
            </w:r>
          </w:p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 xml:space="preserve">На контактах присоединения КЛ-10кВ в яч.209 РУ-10 </w:t>
            </w:r>
            <w:proofErr w:type="spellStart"/>
            <w:r w:rsidRPr="00A1208B">
              <w:rPr>
                <w:snapToGrid w:val="0"/>
              </w:rPr>
              <w:t>кВ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Pr="00A1208B" w:rsidRDefault="00A1208B">
            <w:pPr>
              <w:ind w:firstLine="709"/>
              <w:jc w:val="both"/>
              <w:rPr>
                <w:snapToGrid w:val="0"/>
              </w:rPr>
            </w:pPr>
            <w:r w:rsidRPr="00A1208B">
              <w:rPr>
                <w:snapToGrid w:val="0"/>
              </w:rPr>
              <w:t> </w:t>
            </w:r>
          </w:p>
        </w:tc>
      </w:tr>
    </w:tbl>
    <w:p w:rsidR="00A1208B" w:rsidRDefault="00A1208B" w:rsidP="00A1208B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».</w:t>
      </w:r>
    </w:p>
    <w:p w:rsidR="00A1208B" w:rsidRDefault="00A1208B" w:rsidP="00A1208B">
      <w:pPr>
        <w:ind w:firstLine="709"/>
        <w:jc w:val="both"/>
        <w:rPr>
          <w:snapToGrid w:val="0"/>
          <w:sz w:val="24"/>
          <w:szCs w:val="24"/>
        </w:rPr>
      </w:pPr>
    </w:p>
    <w:p w:rsidR="00A1208B" w:rsidRDefault="00A1208B" w:rsidP="00A1208B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1208B" w:rsidRDefault="00A1208B" w:rsidP="007057F1">
      <w:pPr>
        <w:ind w:right="-144" w:firstLine="567"/>
        <w:jc w:val="both"/>
        <w:rPr>
          <w:sz w:val="24"/>
          <w:szCs w:val="24"/>
        </w:rPr>
      </w:pPr>
    </w:p>
    <w:p w:rsidR="00A1208B" w:rsidRDefault="00A1208B" w:rsidP="00A1208B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По вопросу повестки «Об установлении платы за подключение к централизованным системам холодного водоснабжения и водоотведения муниципального унитарного предприятия «</w:t>
      </w:r>
      <w:proofErr w:type="spellStart"/>
      <w:r>
        <w:rPr>
          <w:b/>
          <w:sz w:val="24"/>
          <w:szCs w:val="24"/>
        </w:rPr>
        <w:t>Низино</w:t>
      </w:r>
      <w:proofErr w:type="spellEnd"/>
      <w:r>
        <w:rPr>
          <w:b/>
          <w:sz w:val="24"/>
          <w:szCs w:val="24"/>
        </w:rPr>
        <w:t>» объекта капитального строительства (69-ти квартирный жилой дом) Федерального государственного казенного учреждения «6 центр заказчика-застройщика войск национальной гвардии Российской Федерации (войсковая часть 6899, г. Санкт-Петербург)», расположенного на земельном участке муниципального образования «</w:t>
      </w:r>
      <w:proofErr w:type="spellStart"/>
      <w:r>
        <w:rPr>
          <w:b/>
          <w:sz w:val="24"/>
          <w:szCs w:val="24"/>
        </w:rPr>
        <w:t>Низинское</w:t>
      </w:r>
      <w:proofErr w:type="spellEnd"/>
      <w:r>
        <w:rPr>
          <w:b/>
          <w:sz w:val="24"/>
          <w:szCs w:val="24"/>
        </w:rPr>
        <w:t xml:space="preserve"> сельское поселение» Ломоносовского муниципального района Ленинградской области (кадастровый номер земельного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участка 47:14:0303012:4) в индивидуальном порядке»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А.П. Панчук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 </w:t>
      </w:r>
      <w:r>
        <w:rPr>
          <w:bCs/>
          <w:snapToGrid w:val="0"/>
          <w:sz w:val="24"/>
          <w:szCs w:val="24"/>
        </w:rPr>
        <w:t>технологическое присоединение к централизованным системам холодного водоснабжения и водоотведения муниципального унитарного предприятия «</w:t>
      </w:r>
      <w:proofErr w:type="spellStart"/>
      <w:r>
        <w:rPr>
          <w:bCs/>
          <w:snapToGrid w:val="0"/>
          <w:sz w:val="24"/>
          <w:szCs w:val="24"/>
        </w:rPr>
        <w:t>Низино</w:t>
      </w:r>
      <w:proofErr w:type="spellEnd"/>
      <w:r>
        <w:rPr>
          <w:bCs/>
          <w:snapToGrid w:val="0"/>
          <w:sz w:val="24"/>
          <w:szCs w:val="24"/>
        </w:rPr>
        <w:t>» объекта капитального строительства (69-ти квартирный жилой дом) Федерального государственного</w:t>
      </w:r>
      <w:proofErr w:type="gramEnd"/>
      <w:r>
        <w:rPr>
          <w:bCs/>
          <w:snapToGrid w:val="0"/>
          <w:sz w:val="24"/>
          <w:szCs w:val="24"/>
        </w:rPr>
        <w:t xml:space="preserve"> </w:t>
      </w:r>
      <w:proofErr w:type="gramStart"/>
      <w:r>
        <w:rPr>
          <w:bCs/>
          <w:snapToGrid w:val="0"/>
          <w:sz w:val="24"/>
          <w:szCs w:val="24"/>
        </w:rPr>
        <w:t>казенного учреждения «6 центр заказчика-застройщика войск национальной гвардии Российской Федерации (войсковая часть 6899, г. Санкт-Петербург)», расположенного на земельном участке муниципального образования «</w:t>
      </w:r>
      <w:proofErr w:type="spellStart"/>
      <w:r>
        <w:rPr>
          <w:bCs/>
          <w:snapToGrid w:val="0"/>
          <w:sz w:val="24"/>
          <w:szCs w:val="24"/>
        </w:rPr>
        <w:t>Низинское</w:t>
      </w:r>
      <w:proofErr w:type="spellEnd"/>
      <w:r>
        <w:rPr>
          <w:bCs/>
          <w:snapToGrid w:val="0"/>
          <w:sz w:val="24"/>
          <w:szCs w:val="24"/>
        </w:rPr>
        <w:t xml:space="preserve"> сельское поселение» Ломоносовского муниципального района Ленинградской области (кадастровый номер земельного участка 47:14:0303012:4)</w:t>
      </w:r>
      <w:r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br/>
        <w:t>в</w:t>
      </w:r>
      <w:r>
        <w:rPr>
          <w:sz w:val="24"/>
          <w:szCs w:val="24"/>
        </w:rPr>
        <w:t xml:space="preserve"> соответствии с обращением от 13.02.2018 № 66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16.02.2018 № КТ-1-926/2018)</w:t>
      </w:r>
      <w:r>
        <w:rPr>
          <w:bCs/>
          <w:color w:val="000000"/>
          <w:sz w:val="24"/>
          <w:szCs w:val="24"/>
        </w:rPr>
        <w:t>.</w:t>
      </w:r>
    </w:p>
    <w:p w:rsidR="00A1208B" w:rsidRDefault="00A1208B" w:rsidP="00A1208B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Присутствующий на заседании Правления ЛенРТК представитель МУП «</w:t>
      </w:r>
      <w:proofErr w:type="spellStart"/>
      <w:r>
        <w:rPr>
          <w:snapToGrid w:val="0"/>
          <w:sz w:val="24"/>
          <w:szCs w:val="24"/>
        </w:rPr>
        <w:t>Низино</w:t>
      </w:r>
      <w:proofErr w:type="spellEnd"/>
      <w:r>
        <w:rPr>
          <w:snapToGrid w:val="0"/>
          <w:sz w:val="24"/>
          <w:szCs w:val="24"/>
        </w:rPr>
        <w:t xml:space="preserve">» Макаров Александр Викторович (действующий по доверенности, на основании приказа № б/н </w:t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lastRenderedPageBreak/>
        <w:t xml:space="preserve">от 11.05.2018) выразил устное несогласие с предложенной ЛенРТК платой за подключение </w:t>
      </w:r>
      <w:r>
        <w:rPr>
          <w:snapToGrid w:val="0"/>
          <w:sz w:val="24"/>
          <w:szCs w:val="24"/>
        </w:rPr>
        <w:br/>
        <w:t>к централизованной системе холодного водоснабжения.</w:t>
      </w:r>
    </w:p>
    <w:p w:rsidR="00A1208B" w:rsidRDefault="00A1208B" w:rsidP="00A1208B">
      <w:pPr>
        <w:ind w:firstLine="709"/>
        <w:jc w:val="both"/>
        <w:rPr>
          <w:b/>
          <w:snapToGrid w:val="0"/>
          <w:sz w:val="24"/>
          <w:szCs w:val="24"/>
        </w:rPr>
      </w:pPr>
    </w:p>
    <w:p w:rsidR="00A1208B" w:rsidRDefault="00A1208B" w:rsidP="00A1208B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A1208B" w:rsidRDefault="00A1208B" w:rsidP="00A1208B">
      <w:pPr>
        <w:ind w:firstLine="709"/>
        <w:jc w:val="both"/>
        <w:rPr>
          <w:b/>
          <w:snapToGrid w:val="0"/>
          <w:sz w:val="24"/>
          <w:szCs w:val="24"/>
        </w:rPr>
      </w:pPr>
    </w:p>
    <w:p w:rsidR="00A1208B" w:rsidRDefault="00A1208B" w:rsidP="00A1208B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gramStart"/>
      <w:r>
        <w:rPr>
          <w:snapToGrid w:val="0"/>
          <w:sz w:val="24"/>
          <w:szCs w:val="24"/>
        </w:rPr>
        <w:t>Установить плату за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bCs/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к централизованной системе холодного водоснабжения </w:t>
      </w:r>
      <w:r>
        <w:rPr>
          <w:bCs/>
          <w:snapToGrid w:val="0"/>
          <w:sz w:val="24"/>
          <w:szCs w:val="24"/>
        </w:rPr>
        <w:t>муниципального унитарного предприятия «</w:t>
      </w:r>
      <w:proofErr w:type="spellStart"/>
      <w:r>
        <w:rPr>
          <w:bCs/>
          <w:snapToGrid w:val="0"/>
          <w:sz w:val="24"/>
          <w:szCs w:val="24"/>
        </w:rPr>
        <w:t>Низино</w:t>
      </w:r>
      <w:proofErr w:type="spellEnd"/>
      <w:r>
        <w:rPr>
          <w:bCs/>
          <w:snapToGrid w:val="0"/>
          <w:sz w:val="24"/>
          <w:szCs w:val="24"/>
        </w:rPr>
        <w:t xml:space="preserve">» муниципального образования </w:t>
      </w:r>
      <w:proofErr w:type="spellStart"/>
      <w:r>
        <w:rPr>
          <w:bCs/>
          <w:snapToGrid w:val="0"/>
          <w:sz w:val="24"/>
          <w:szCs w:val="24"/>
        </w:rPr>
        <w:t>Низинское</w:t>
      </w:r>
      <w:proofErr w:type="spellEnd"/>
      <w:r>
        <w:rPr>
          <w:bCs/>
          <w:snapToGrid w:val="0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napToGrid w:val="0"/>
          <w:sz w:val="24"/>
          <w:szCs w:val="24"/>
        </w:rPr>
        <w:t xml:space="preserve"> объекта капитального строительства (69-ти квартирный жилой дом) Федерального государственного казенного учреждения «6 центр заказчика-застройщика войск национальной гвардии Российской Федерации (войсковая часть 6899, город Санкт-Петербург)», расположенного на земельном участке (кадастровый номер 47:14:0303012</w:t>
      </w:r>
      <w:proofErr w:type="gramEnd"/>
      <w:r>
        <w:rPr>
          <w:snapToGrid w:val="0"/>
          <w:sz w:val="24"/>
          <w:szCs w:val="24"/>
        </w:rPr>
        <w:t>:4) муниципального образования «</w:t>
      </w:r>
      <w:proofErr w:type="spellStart"/>
      <w:r>
        <w:rPr>
          <w:snapToGrid w:val="0"/>
          <w:sz w:val="24"/>
          <w:szCs w:val="24"/>
        </w:rPr>
        <w:t>Низинское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Ломоносовского муниципального района Ленинградской области в размере </w:t>
      </w:r>
      <w:r>
        <w:rPr>
          <w:bCs/>
          <w:snapToGrid w:val="0"/>
          <w:sz w:val="24"/>
          <w:szCs w:val="24"/>
          <w:lang w:bidi="ru-RU"/>
        </w:rPr>
        <w:t>1 592,63</w:t>
      </w:r>
      <w:r>
        <w:rPr>
          <w:b/>
          <w:bCs/>
          <w:snapToGrid w:val="0"/>
          <w:sz w:val="24"/>
          <w:szCs w:val="24"/>
          <w:lang w:bidi="ru-RU"/>
        </w:rPr>
        <w:t xml:space="preserve"> </w:t>
      </w:r>
      <w:r>
        <w:rPr>
          <w:bCs/>
          <w:snapToGrid w:val="0"/>
          <w:sz w:val="24"/>
          <w:szCs w:val="24"/>
        </w:rPr>
        <w:t>тыс.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руб. (без НДС), с максимальной величиной подключаемой нагрузки </w:t>
      </w:r>
      <w:r>
        <w:rPr>
          <w:bCs/>
          <w:snapToGrid w:val="0"/>
          <w:sz w:val="24"/>
          <w:szCs w:val="24"/>
        </w:rPr>
        <w:t xml:space="preserve">37,93 </w:t>
      </w:r>
      <w:r>
        <w:rPr>
          <w:snapToGrid w:val="0"/>
          <w:sz w:val="24"/>
          <w:szCs w:val="24"/>
        </w:rPr>
        <w:t>м</w:t>
      </w:r>
      <w:r>
        <w:rPr>
          <w:snapToGrid w:val="0"/>
          <w:sz w:val="24"/>
          <w:szCs w:val="24"/>
          <w:vertAlign w:val="superscript"/>
        </w:rPr>
        <w:t>3</w:t>
      </w:r>
      <w:r>
        <w:rPr>
          <w:snapToGrid w:val="0"/>
          <w:sz w:val="24"/>
          <w:szCs w:val="24"/>
        </w:rPr>
        <w:t>/</w:t>
      </w:r>
      <w:proofErr w:type="spellStart"/>
      <w:r>
        <w:rPr>
          <w:snapToGrid w:val="0"/>
          <w:sz w:val="24"/>
          <w:szCs w:val="24"/>
        </w:rPr>
        <w:t>сут</w:t>
      </w:r>
      <w:proofErr w:type="spellEnd"/>
      <w:r>
        <w:rPr>
          <w:snapToGrid w:val="0"/>
          <w:sz w:val="24"/>
          <w:szCs w:val="24"/>
        </w:rPr>
        <w:t>.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734"/>
        <w:gridCol w:w="1160"/>
      </w:tblGrid>
      <w:tr w:rsidR="00A1208B" w:rsidTr="00A1208B">
        <w:trPr>
          <w:trHeight w:val="58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4</w:t>
            </w:r>
          </w:p>
        </w:tc>
      </w:tr>
      <w:tr w:rsidR="00A1208B" w:rsidTr="00A1208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rPr>
                <w:bCs/>
                <w:lang w:bidi="ru-RU"/>
              </w:rPr>
              <w:t>1 592,63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по проведению мероприятий по подключению заявителей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1 559,48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проектирование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сырье и материалы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1.1.3.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1.1.4.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оплату работ и услуг сторонних организаций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1 372,93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1.1.5.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оплата труда и отчисления на социальные нужды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1.1.6.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прочие расходы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53,93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1.2.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Внереализационные расходы, 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1.2.1.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услуги банков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1.2.2.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обслуживание заемных средств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Налог на прибыль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Налог на прибыль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33,15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Структура расходов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/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Расходы, относимые на ставку за протяженность сети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Расходы, относимые на ставку за подключаемую нагрузку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1 559,48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0,02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40 мм и менее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40 мм до 70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70 мм до 100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0,02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100 мм до 150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150 мм до 200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200 мм до 250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250 мм и более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Подключаемая нагрузка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куб. м в сутки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 xml:space="preserve">37,93 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Предлагаемые тарифы на подключение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Базовая ставка тарифа на 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/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Базовая ставка тарифа на подключаемую нагрузку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 xml:space="preserve">тыс. руб./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/>
        </w:tc>
      </w:tr>
    </w:tbl>
    <w:p w:rsidR="00A1208B" w:rsidRDefault="00A1208B" w:rsidP="00A1208B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Плата указана без учета налога на добавленную стоимость</w:t>
      </w:r>
    </w:p>
    <w:p w:rsidR="00A1208B" w:rsidRDefault="00A1208B" w:rsidP="00A12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1208B" w:rsidRDefault="00A1208B" w:rsidP="00A1208B">
      <w:pPr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>
        <w:rPr>
          <w:sz w:val="24"/>
          <w:szCs w:val="24"/>
        </w:rPr>
        <w:t>Установить плату за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к централизованной системе водоотведения </w:t>
      </w:r>
      <w:r>
        <w:rPr>
          <w:bCs/>
          <w:sz w:val="24"/>
          <w:szCs w:val="24"/>
        </w:rPr>
        <w:t>муниципального унитарного предприятия «</w:t>
      </w:r>
      <w:proofErr w:type="spellStart"/>
      <w:r>
        <w:rPr>
          <w:bCs/>
          <w:sz w:val="24"/>
          <w:szCs w:val="24"/>
        </w:rPr>
        <w:t>Низино</w:t>
      </w:r>
      <w:proofErr w:type="spellEnd"/>
      <w:r>
        <w:rPr>
          <w:bCs/>
          <w:sz w:val="24"/>
          <w:szCs w:val="24"/>
        </w:rPr>
        <w:t xml:space="preserve">» муниципального образования </w:t>
      </w:r>
      <w:proofErr w:type="spellStart"/>
      <w:r>
        <w:rPr>
          <w:bCs/>
          <w:sz w:val="24"/>
          <w:szCs w:val="24"/>
        </w:rPr>
        <w:t>Низинское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 xml:space="preserve"> объекта капитального строительства (69-ти квартирный жилой дом) Федерального государственного казенного учреждения «6 центр заказчика-застройщика войск национальной гвардии Российской Федерации (войсковая часть 6899, город Санкт-Петербург)», расположенного на земельном участке (кадастровый номер 47:14:0303012:4</w:t>
      </w:r>
      <w:proofErr w:type="gramEnd"/>
      <w:r>
        <w:rPr>
          <w:sz w:val="24"/>
          <w:szCs w:val="24"/>
        </w:rPr>
        <w:t>) муниципального образования «</w:t>
      </w:r>
      <w:proofErr w:type="spellStart"/>
      <w:r>
        <w:rPr>
          <w:sz w:val="24"/>
          <w:szCs w:val="24"/>
        </w:rPr>
        <w:t>Низинское</w:t>
      </w:r>
      <w:proofErr w:type="spellEnd"/>
      <w:r>
        <w:rPr>
          <w:sz w:val="24"/>
          <w:szCs w:val="24"/>
        </w:rPr>
        <w:t xml:space="preserve"> сельское поселение» Ломоносовского муниципального района Ленинградской области в размере </w:t>
      </w:r>
      <w:r>
        <w:rPr>
          <w:sz w:val="24"/>
          <w:szCs w:val="24"/>
        </w:rPr>
        <w:br/>
      </w:r>
      <w:r>
        <w:rPr>
          <w:bCs/>
          <w:sz w:val="24"/>
          <w:szCs w:val="24"/>
          <w:lang w:bidi="ru-RU"/>
        </w:rPr>
        <w:t>2 543,31</w:t>
      </w:r>
      <w:r>
        <w:rPr>
          <w:b/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</w:rPr>
        <w:t>тыс.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(без НДС), с максимальной величиной подключаемой нагрузки </w:t>
      </w:r>
      <w:r>
        <w:rPr>
          <w:bCs/>
          <w:sz w:val="24"/>
          <w:szCs w:val="24"/>
        </w:rPr>
        <w:t xml:space="preserve">46,80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734"/>
        <w:gridCol w:w="1160"/>
      </w:tblGrid>
      <w:tr w:rsidR="00A1208B" w:rsidTr="00A1208B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08B" w:rsidRDefault="00A1208B">
            <w:pPr>
              <w:jc w:val="center"/>
            </w:pPr>
            <w:r>
              <w:t>4</w:t>
            </w:r>
          </w:p>
        </w:tc>
      </w:tr>
      <w:tr w:rsidR="00A1208B" w:rsidTr="00A1208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2 543,31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по проведению мероприятий по подключению заявителей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2 045,43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проектирование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сырье и материалы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оплату работ и услуг сторонних организаций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оплата труда и отчисления на социальные нужды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1.1.6.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прочие расходы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2 045,43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Внереализационные расходы, всего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1.2.1.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услуги банков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1.2.2.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 на обслуживание заемных средств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Налог на прибыль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1.3.1.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Налог на прибыль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497,88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Структура расходов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/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Расходы, относимые на ставку за протяженность сети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Расходы, относимые на ставку за подключаемую нагрузку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2.3.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2 045,43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0,554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40 мм и менее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40 мм до 70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70 мм до 100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100 мм до 150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150 мм до 200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200 мм до 250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0,554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3.1.7.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протяженность сетей диаметром от 250 мм и более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0,00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Подключаемая нагрузка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куб. м в сутки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 xml:space="preserve">46,80 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Предлагаемые тарифы на подключение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Базовая ставка тарифа на 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/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 </w:t>
            </w:r>
          </w:p>
        </w:tc>
      </w:tr>
      <w:tr w:rsidR="00A1208B" w:rsidTr="00A1208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>5.3.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r>
              <w:t>Базовая ставка тарифа на подключаемую нагрузку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>
            <w:pPr>
              <w:jc w:val="center"/>
            </w:pPr>
            <w:r>
              <w:t xml:space="preserve">тыс. руб./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8B" w:rsidRDefault="00A1208B"/>
        </w:tc>
      </w:tr>
    </w:tbl>
    <w:p w:rsidR="00A1208B" w:rsidRDefault="00A1208B" w:rsidP="00A1208B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Плата указана без учета налога на добавленную стоимость</w:t>
      </w:r>
    </w:p>
    <w:p w:rsidR="00A1208B" w:rsidRDefault="00A1208B" w:rsidP="00A1208B">
      <w:pPr>
        <w:ind w:firstLine="709"/>
        <w:jc w:val="both"/>
        <w:rPr>
          <w:snapToGrid w:val="0"/>
          <w:sz w:val="24"/>
          <w:szCs w:val="24"/>
        </w:rPr>
      </w:pPr>
    </w:p>
    <w:p w:rsidR="00A1208B" w:rsidRDefault="00A1208B" w:rsidP="00A1208B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1208B" w:rsidRDefault="00A1208B" w:rsidP="007057F1">
      <w:pPr>
        <w:ind w:right="-144" w:firstLine="567"/>
        <w:jc w:val="both"/>
        <w:rPr>
          <w:sz w:val="24"/>
          <w:szCs w:val="24"/>
        </w:rPr>
      </w:pPr>
    </w:p>
    <w:p w:rsidR="00A1208B" w:rsidRPr="009F7D64" w:rsidRDefault="00A1208B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1208B" w:rsidRDefault="00A1208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A1208B">
      <w:headerReference w:type="default" r:id="rId8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8B" w:rsidRDefault="00A1208B" w:rsidP="00A1208B">
      <w:r>
        <w:separator/>
      </w:r>
    </w:p>
  </w:endnote>
  <w:endnote w:type="continuationSeparator" w:id="0">
    <w:p w:rsidR="00A1208B" w:rsidRDefault="00A1208B" w:rsidP="00A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8B" w:rsidRDefault="00A1208B" w:rsidP="00A1208B">
      <w:r>
        <w:separator/>
      </w:r>
    </w:p>
  </w:footnote>
  <w:footnote w:type="continuationSeparator" w:id="0">
    <w:p w:rsidR="00A1208B" w:rsidRDefault="00A1208B" w:rsidP="00A1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31836"/>
      <w:docPartObj>
        <w:docPartGallery w:val="Page Numbers (Top of Page)"/>
        <w:docPartUnique/>
      </w:docPartObj>
    </w:sdtPr>
    <w:sdtEndPr/>
    <w:sdtContent>
      <w:p w:rsidR="00A1208B" w:rsidRDefault="00A12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26">
          <w:rPr>
            <w:noProof/>
          </w:rPr>
          <w:t>7</w:t>
        </w:r>
        <w:r>
          <w:fldChar w:fldCharType="end"/>
        </w:r>
      </w:p>
    </w:sdtContent>
  </w:sdt>
  <w:p w:rsidR="00A1208B" w:rsidRDefault="00A120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159"/>
    <w:multiLevelType w:val="multilevel"/>
    <w:tmpl w:val="DFCE90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8465F53"/>
    <w:multiLevelType w:val="hybridMultilevel"/>
    <w:tmpl w:val="83EA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C3D4D"/>
    <w:rsid w:val="005765D8"/>
    <w:rsid w:val="005A40CD"/>
    <w:rsid w:val="007057F1"/>
    <w:rsid w:val="007244AB"/>
    <w:rsid w:val="007753ED"/>
    <w:rsid w:val="0084613E"/>
    <w:rsid w:val="00894DB5"/>
    <w:rsid w:val="00932E36"/>
    <w:rsid w:val="00934879"/>
    <w:rsid w:val="009A63CA"/>
    <w:rsid w:val="00A1208B"/>
    <w:rsid w:val="00A34C6B"/>
    <w:rsid w:val="00BD37E4"/>
    <w:rsid w:val="00C91026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2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2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0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2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2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0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2018-05-16T08:22:00Z</cp:lastPrinted>
  <dcterms:created xsi:type="dcterms:W3CDTF">2014-10-27T07:45:00Z</dcterms:created>
  <dcterms:modified xsi:type="dcterms:W3CDTF">2018-05-16T08:23:00Z</dcterms:modified>
</cp:coreProperties>
</file>