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F670A5">
        <w:rPr>
          <w:b/>
          <w:color w:val="000000"/>
          <w:sz w:val="24"/>
          <w:szCs w:val="24"/>
        </w:rPr>
        <w:t>14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932E36" w:rsidP="007057F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670A5">
        <w:rPr>
          <w:sz w:val="24"/>
          <w:szCs w:val="24"/>
        </w:rPr>
        <w:t>1</w:t>
      </w:r>
      <w:r w:rsidR="007057F1">
        <w:rPr>
          <w:sz w:val="24"/>
          <w:szCs w:val="24"/>
        </w:rPr>
        <w:t xml:space="preserve"> </w:t>
      </w:r>
      <w:r w:rsidR="00F670A5">
        <w:rPr>
          <w:sz w:val="24"/>
          <w:szCs w:val="24"/>
        </w:rPr>
        <w:t>ма</w:t>
      </w:r>
      <w:r w:rsidR="007057F1">
        <w:rPr>
          <w:sz w:val="24"/>
          <w:szCs w:val="24"/>
        </w:rPr>
        <w:t>я 201</w:t>
      </w:r>
      <w:r w:rsidR="00840E27">
        <w:rPr>
          <w:sz w:val="24"/>
          <w:szCs w:val="24"/>
        </w:rPr>
        <w:t>8</w:t>
      </w:r>
      <w:bookmarkStart w:id="0" w:name="_GoBack"/>
      <w:bookmarkEnd w:id="0"/>
      <w:r w:rsidR="007057F1">
        <w:rPr>
          <w:sz w:val="24"/>
          <w:szCs w:val="24"/>
        </w:rPr>
        <w:t xml:space="preserve"> года                                                                                 </w:t>
      </w:r>
      <w:r w:rsidR="005A40CD">
        <w:rPr>
          <w:sz w:val="24"/>
          <w:szCs w:val="24"/>
        </w:rPr>
        <w:t xml:space="preserve">        </w:t>
      </w:r>
      <w:r w:rsidR="00F670A5">
        <w:rPr>
          <w:sz w:val="24"/>
          <w:szCs w:val="24"/>
        </w:rPr>
        <w:t xml:space="preserve">        </w:t>
      </w:r>
      <w:r w:rsidR="005A40CD">
        <w:rPr>
          <w:sz w:val="24"/>
          <w:szCs w:val="24"/>
        </w:rPr>
        <w:t xml:space="preserve">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F670A5">
        <w:rPr>
          <w:sz w:val="24"/>
          <w:szCs w:val="24"/>
        </w:rPr>
        <w:t>Свиридова Татьяна Львовна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7057F1">
        <w:rPr>
          <w:sz w:val="24"/>
          <w:szCs w:val="24"/>
        </w:rPr>
        <w:t xml:space="preserve">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proofErr w:type="spellStart"/>
      <w:r w:rsidR="003C3D4D">
        <w:rPr>
          <w:sz w:val="24"/>
          <w:szCs w:val="24"/>
        </w:rPr>
        <w:t>Зороян</w:t>
      </w:r>
      <w:proofErr w:type="spellEnd"/>
      <w:r w:rsidR="003C3D4D">
        <w:rPr>
          <w:sz w:val="24"/>
          <w:szCs w:val="24"/>
        </w:rPr>
        <w:t xml:space="preserve"> Сурен Георгиевич</w:t>
      </w:r>
      <w:r w:rsidR="0084613E">
        <w:rPr>
          <w:sz w:val="24"/>
          <w:szCs w:val="24"/>
        </w:rPr>
        <w:t>, Курылко Светлана Анатольевна.</w:t>
      </w:r>
    </w:p>
    <w:p w:rsidR="00BD37E4" w:rsidRDefault="00BD37E4" w:rsidP="00BD3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Управления Федеральной антимонопольной службы по Ленинградской области </w:t>
      </w:r>
      <w:proofErr w:type="spellStart"/>
      <w:r w:rsidR="007244AB">
        <w:rPr>
          <w:sz w:val="24"/>
          <w:szCs w:val="24"/>
        </w:rPr>
        <w:t>Абейдуллин</w:t>
      </w:r>
      <w:proofErr w:type="spellEnd"/>
      <w:r w:rsidR="007244AB">
        <w:rPr>
          <w:sz w:val="24"/>
          <w:szCs w:val="24"/>
        </w:rPr>
        <w:t xml:space="preserve"> Руслан </w:t>
      </w:r>
      <w:proofErr w:type="spellStart"/>
      <w:r w:rsidR="007244AB">
        <w:rPr>
          <w:sz w:val="24"/>
          <w:szCs w:val="24"/>
        </w:rPr>
        <w:t>Анверович</w:t>
      </w:r>
      <w:proofErr w:type="spellEnd"/>
      <w:r>
        <w:rPr>
          <w:sz w:val="24"/>
          <w:szCs w:val="24"/>
        </w:rPr>
        <w:t xml:space="preserve"> с правом совещательного голоса.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F670A5" w:rsidP="00F670A5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-1" w:firstLine="567"/>
        <w:jc w:val="both"/>
        <w:rPr>
          <w:sz w:val="24"/>
          <w:szCs w:val="24"/>
        </w:rPr>
      </w:pPr>
      <w:r w:rsidRPr="00F670A5">
        <w:rPr>
          <w:sz w:val="24"/>
          <w:szCs w:val="24"/>
        </w:rPr>
        <w:t>Об утверждении нормативов технологических потерь для акционерного общества «Теплосеть Санкт-Петербурга» при передаче тепловой энергии по тепловым сетям, расположенным на территории муниципальных образований «</w:t>
      </w:r>
      <w:proofErr w:type="spellStart"/>
      <w:r w:rsidRPr="00F670A5">
        <w:rPr>
          <w:sz w:val="24"/>
          <w:szCs w:val="24"/>
        </w:rPr>
        <w:t>Заневское</w:t>
      </w:r>
      <w:proofErr w:type="spellEnd"/>
      <w:r w:rsidRPr="00F670A5">
        <w:rPr>
          <w:sz w:val="24"/>
          <w:szCs w:val="24"/>
        </w:rPr>
        <w:t xml:space="preserve"> городское поселение», «</w:t>
      </w:r>
      <w:proofErr w:type="spellStart"/>
      <w:r w:rsidRPr="00F670A5">
        <w:rPr>
          <w:sz w:val="24"/>
          <w:szCs w:val="24"/>
        </w:rPr>
        <w:t>Новодевяткинское</w:t>
      </w:r>
      <w:proofErr w:type="spellEnd"/>
      <w:r w:rsidRPr="00F670A5">
        <w:rPr>
          <w:sz w:val="24"/>
          <w:szCs w:val="24"/>
        </w:rPr>
        <w:t xml:space="preserve"> сельское поселение», «</w:t>
      </w:r>
      <w:proofErr w:type="spellStart"/>
      <w:r w:rsidRPr="00F670A5">
        <w:rPr>
          <w:sz w:val="24"/>
          <w:szCs w:val="24"/>
        </w:rPr>
        <w:t>Муринское</w:t>
      </w:r>
      <w:proofErr w:type="spellEnd"/>
      <w:r w:rsidRPr="00F670A5">
        <w:rPr>
          <w:sz w:val="24"/>
          <w:szCs w:val="24"/>
        </w:rPr>
        <w:t xml:space="preserve"> сельское поселение» Всеволожского муниципального района Ленинградской области, на 2018 год</w:t>
      </w:r>
      <w:r>
        <w:rPr>
          <w:sz w:val="24"/>
          <w:szCs w:val="24"/>
        </w:rPr>
        <w:t>.</w:t>
      </w:r>
    </w:p>
    <w:p w:rsidR="00F670A5" w:rsidRPr="00F670A5" w:rsidRDefault="00F670A5" w:rsidP="00F670A5">
      <w:pPr>
        <w:pStyle w:val="a5"/>
        <w:tabs>
          <w:tab w:val="left" w:pos="993"/>
        </w:tabs>
        <w:autoSpaceDE w:val="0"/>
        <w:autoSpaceDN w:val="0"/>
        <w:adjustRightInd w:val="0"/>
        <w:ind w:left="567" w:right="-1"/>
        <w:jc w:val="both"/>
        <w:rPr>
          <w:sz w:val="24"/>
          <w:szCs w:val="24"/>
        </w:rPr>
      </w:pPr>
    </w:p>
    <w:p w:rsidR="00F670A5" w:rsidRDefault="00F670A5" w:rsidP="00F670A5">
      <w:pPr>
        <w:ind w:firstLine="708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По вопросу повестки «Об утверждении нормативов технологических потерь для акционерного общества «Теплосеть Санкт-Петербурга» при передаче тепловой энергии по тепловым сетям, расположенным на территории муниципальных образований «</w:t>
      </w:r>
      <w:proofErr w:type="spellStart"/>
      <w:r>
        <w:rPr>
          <w:b/>
          <w:sz w:val="24"/>
          <w:szCs w:val="24"/>
        </w:rPr>
        <w:t>Заневское</w:t>
      </w:r>
      <w:proofErr w:type="spellEnd"/>
      <w:r>
        <w:rPr>
          <w:b/>
          <w:sz w:val="24"/>
          <w:szCs w:val="24"/>
        </w:rPr>
        <w:t xml:space="preserve"> городское поселение», «</w:t>
      </w:r>
      <w:proofErr w:type="spellStart"/>
      <w:r>
        <w:rPr>
          <w:b/>
          <w:sz w:val="24"/>
          <w:szCs w:val="24"/>
        </w:rPr>
        <w:t>Новодевяткинское</w:t>
      </w:r>
      <w:proofErr w:type="spellEnd"/>
      <w:r>
        <w:rPr>
          <w:b/>
          <w:sz w:val="24"/>
          <w:szCs w:val="24"/>
        </w:rPr>
        <w:t xml:space="preserve"> сельское поселение», «</w:t>
      </w:r>
      <w:proofErr w:type="spellStart"/>
      <w:r>
        <w:rPr>
          <w:b/>
          <w:sz w:val="24"/>
          <w:szCs w:val="24"/>
        </w:rPr>
        <w:t>Муринское</w:t>
      </w:r>
      <w:proofErr w:type="spellEnd"/>
      <w:r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области, на 2018 год» </w:t>
      </w:r>
      <w:r>
        <w:rPr>
          <w:sz w:val="24"/>
          <w:szCs w:val="24"/>
        </w:rPr>
        <w:t>выступила начальник отдела регулирования тарифов (цен) в сфере теплоснабжения департамента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регулирования тарифов организаций коммунального комплекса и электрической энергии комитета Курылко С.А., изложила основные положения экспертного заключения по вопросу об утверждении нормативов технологических потерь для АО «Теплосеть Санкт-Петербурга» (далее – АО «Теплосеть СПб» при передаче тепловой энергии по тепловым сетям, расположенным на территории муниципальных образований «</w:t>
      </w:r>
      <w:proofErr w:type="spellStart"/>
      <w:r>
        <w:rPr>
          <w:sz w:val="24"/>
          <w:szCs w:val="24"/>
        </w:rPr>
        <w:t>Заневское</w:t>
      </w:r>
      <w:proofErr w:type="spellEnd"/>
      <w:r>
        <w:rPr>
          <w:sz w:val="24"/>
          <w:szCs w:val="24"/>
        </w:rPr>
        <w:t xml:space="preserve"> городское поселение», «</w:t>
      </w:r>
      <w:proofErr w:type="spellStart"/>
      <w:r>
        <w:rPr>
          <w:sz w:val="24"/>
          <w:szCs w:val="24"/>
        </w:rPr>
        <w:t>Новодевяткинское</w:t>
      </w:r>
      <w:proofErr w:type="spellEnd"/>
      <w:r>
        <w:rPr>
          <w:sz w:val="24"/>
          <w:szCs w:val="24"/>
        </w:rPr>
        <w:t xml:space="preserve"> сельское поселение», «</w:t>
      </w:r>
      <w:proofErr w:type="spellStart"/>
      <w:r>
        <w:rPr>
          <w:sz w:val="24"/>
          <w:szCs w:val="24"/>
        </w:rPr>
        <w:t>Муринское</w:t>
      </w:r>
      <w:proofErr w:type="spellEnd"/>
      <w:r>
        <w:rPr>
          <w:sz w:val="24"/>
          <w:szCs w:val="24"/>
        </w:rPr>
        <w:t xml:space="preserve"> сельское поселение» Всеволожского муниципального района Ленинградской области, на 2018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год, в соответствии с заявлением АО «Теплосеть СПб»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ЛенРТК от 01.12.2017 № КТ-1-2824/2017) об утверждении нормативов технологических потерь для акционерного общества «Теплосеть Санкт-Петербурга» при передаче тепловой энергии по тепловым сетям, расположенным на территории муниципальных образований «</w:t>
      </w:r>
      <w:proofErr w:type="spellStart"/>
      <w:r>
        <w:rPr>
          <w:sz w:val="24"/>
          <w:szCs w:val="24"/>
        </w:rPr>
        <w:t>Заневское</w:t>
      </w:r>
      <w:proofErr w:type="spellEnd"/>
      <w:r>
        <w:rPr>
          <w:sz w:val="24"/>
          <w:szCs w:val="24"/>
        </w:rPr>
        <w:t xml:space="preserve"> городское поселение», «</w:t>
      </w:r>
      <w:proofErr w:type="spellStart"/>
      <w:r>
        <w:rPr>
          <w:sz w:val="24"/>
          <w:szCs w:val="24"/>
        </w:rPr>
        <w:t>Новодевяткинское</w:t>
      </w:r>
      <w:proofErr w:type="spellEnd"/>
      <w:r>
        <w:rPr>
          <w:sz w:val="24"/>
          <w:szCs w:val="24"/>
        </w:rPr>
        <w:t xml:space="preserve"> сельское поселение», «</w:t>
      </w:r>
      <w:proofErr w:type="spellStart"/>
      <w:r>
        <w:rPr>
          <w:sz w:val="24"/>
          <w:szCs w:val="24"/>
        </w:rPr>
        <w:t>Муринское</w:t>
      </w:r>
      <w:proofErr w:type="spellEnd"/>
      <w:r>
        <w:rPr>
          <w:sz w:val="24"/>
          <w:szCs w:val="24"/>
        </w:rPr>
        <w:t xml:space="preserve"> сельское поселение» Всеволожского муниципального района Ленинградской области, на 2018 год.</w:t>
      </w:r>
      <w:proofErr w:type="gramEnd"/>
    </w:p>
    <w:p w:rsidR="00F670A5" w:rsidRDefault="00F670A5" w:rsidP="00F670A5">
      <w:pPr>
        <w:ind w:firstLine="709"/>
        <w:jc w:val="both"/>
        <w:rPr>
          <w:snapToGrid w:val="0"/>
          <w:sz w:val="24"/>
          <w:szCs w:val="24"/>
        </w:rPr>
      </w:pPr>
    </w:p>
    <w:p w:rsidR="00F670A5" w:rsidRDefault="00F670A5" w:rsidP="00F670A5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F670A5" w:rsidRDefault="00F670A5" w:rsidP="00F670A5">
      <w:pPr>
        <w:ind w:firstLine="709"/>
        <w:jc w:val="both"/>
        <w:rPr>
          <w:b/>
          <w:snapToGrid w:val="0"/>
          <w:sz w:val="24"/>
          <w:szCs w:val="24"/>
        </w:rPr>
      </w:pPr>
    </w:p>
    <w:p w:rsidR="00F670A5" w:rsidRDefault="00F670A5" w:rsidP="00F670A5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АО «Теплосеть СПб» является </w:t>
      </w:r>
      <w:proofErr w:type="spellStart"/>
      <w:r>
        <w:rPr>
          <w:rFonts w:eastAsia="Calibri"/>
          <w:sz w:val="24"/>
          <w:szCs w:val="24"/>
          <w:lang w:eastAsia="en-US"/>
        </w:rPr>
        <w:t>теплосетевой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организацией, оказывающей услуги по передаче тепловой энергии производителю тепловой энергии ПАО «ТГК-1» (филиал «Невский») – ТЭЦ-5 и ТЭЦ-21. </w:t>
      </w:r>
    </w:p>
    <w:p w:rsidR="00F670A5" w:rsidRDefault="00F670A5" w:rsidP="00F670A5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Тепловые сети системы теплоснабжения АО «Теплосеть СПб» – водяные двухтрубные, предназначенные для подачи теплоносителя и теплоты в </w:t>
      </w:r>
      <w:proofErr w:type="spellStart"/>
      <w:r>
        <w:rPr>
          <w:rFonts w:eastAsia="Calibri"/>
          <w:sz w:val="24"/>
          <w:szCs w:val="24"/>
          <w:lang w:eastAsia="en-US"/>
        </w:rPr>
        <w:t>теплопотребляющие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установки потребителей тепловой энергии на нужды отопления, вентиляции и горячего водоснабжения.</w:t>
      </w:r>
    </w:p>
    <w:p w:rsidR="00F670A5" w:rsidRDefault="00F670A5" w:rsidP="00F670A5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расположению трубопроводов схема тепловых сетей – кольцевая.</w:t>
      </w:r>
    </w:p>
    <w:p w:rsidR="00F670A5" w:rsidRDefault="00F670A5" w:rsidP="00F670A5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Тепловые сети, находящиеся в эксплуатационной ответственности АО «Теплосеть СПб» на территории Ленинградской области, имеют все возможные типы прокладки: надземную, подземную канальную, подземную </w:t>
      </w:r>
      <w:proofErr w:type="spellStart"/>
      <w:r>
        <w:rPr>
          <w:rFonts w:eastAsia="Calibri"/>
          <w:sz w:val="24"/>
          <w:szCs w:val="24"/>
          <w:lang w:eastAsia="en-US"/>
        </w:rPr>
        <w:t>бесканальную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по подвалам зданий и в проходных и полупроходных тоннелях. Прокладка трубопроводов при надземном способе выполнена на </w:t>
      </w:r>
      <w:r>
        <w:rPr>
          <w:rFonts w:eastAsia="Calibri"/>
          <w:sz w:val="24"/>
          <w:szCs w:val="24"/>
          <w:lang w:eastAsia="en-US"/>
        </w:rPr>
        <w:lastRenderedPageBreak/>
        <w:t xml:space="preserve">эстакадах и на низких железобетонных опорах. </w:t>
      </w:r>
    </w:p>
    <w:p w:rsidR="00F670A5" w:rsidRDefault="00F670A5" w:rsidP="00F670A5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тепловых сетях АО «Теплосеть СПб» используются различные виды теплоизоляционных конструкций трубопроводов: </w:t>
      </w:r>
      <w:proofErr w:type="spellStart"/>
      <w:r>
        <w:rPr>
          <w:rFonts w:eastAsia="Calibri"/>
          <w:sz w:val="24"/>
          <w:szCs w:val="24"/>
          <w:lang w:eastAsia="en-US"/>
        </w:rPr>
        <w:t>минераловатные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изделия, </w:t>
      </w:r>
      <w:proofErr w:type="spellStart"/>
      <w:r>
        <w:rPr>
          <w:rFonts w:eastAsia="Calibri"/>
          <w:sz w:val="24"/>
          <w:szCs w:val="24"/>
          <w:lang w:eastAsia="en-US"/>
        </w:rPr>
        <w:t>армопенобетон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ППУ, фенольный поропласт (ФЛ-3). В качестве покровного слоя используется рубероид, стекловолокно, листы оцинкованной стали и листы из алюминиевых сплавов. </w:t>
      </w:r>
    </w:p>
    <w:p w:rsidR="00F670A5" w:rsidRDefault="00F670A5" w:rsidP="00F670A5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Наиболее ранний год прокладки – 1960 г, последние капительные ремонты производились в 2017 году.</w:t>
      </w:r>
    </w:p>
    <w:p w:rsidR="00F670A5" w:rsidRDefault="00F670A5" w:rsidP="00F670A5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тем, что режим работы тепловых сетей АО «Теплосеть СПб» характеризуется существенными отличиями, то расчёты потерь сетевой воды и тепловых потерь производится отдельно для следующих категорий тепловых сетей (отдельно по каждому графику):</w:t>
      </w:r>
    </w:p>
    <w:p w:rsidR="00F670A5" w:rsidRDefault="00F670A5" w:rsidP="00F670A5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тепловые сети до ЦТП, работающие круглогодично в режиме циркуляции по температурному графику 165/70°C с верхней срезкой на 110°C (ТЭЦ-5 </w:t>
      </w:r>
      <w:proofErr w:type="spellStart"/>
      <w:r>
        <w:rPr>
          <w:rFonts w:eastAsia="Calibri"/>
          <w:sz w:val="24"/>
          <w:szCs w:val="24"/>
          <w:lang w:eastAsia="en-US"/>
        </w:rPr>
        <w:t>Пороховская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тепломагистраль</w:t>
      </w:r>
      <w:proofErr w:type="spellEnd"/>
      <w:r>
        <w:rPr>
          <w:rFonts w:eastAsia="Calibri"/>
          <w:sz w:val="24"/>
          <w:szCs w:val="24"/>
          <w:lang w:eastAsia="en-US"/>
        </w:rPr>
        <w:t>);</w:t>
      </w:r>
    </w:p>
    <w:p w:rsidR="00F670A5" w:rsidRDefault="00F670A5" w:rsidP="00F670A5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 тепловые сети до ЦТП, работающие круглогодично в режиме циркуляции температурному графику 150/70°C с верхней срезкой на 106°C (ТЭЦ-21);</w:t>
      </w:r>
    </w:p>
    <w:p w:rsidR="00F670A5" w:rsidRDefault="00F670A5" w:rsidP="00F670A5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– тепловые сети отопления после ЦТП Оборонная д. 51 и НСС Школьная, работающие в отопительный период в режиме циркуляции по температурному графику 95/70°C (ТЭЦ-21);</w:t>
      </w:r>
    </w:p>
    <w:p w:rsidR="00F670A5" w:rsidRDefault="00F670A5" w:rsidP="00F670A5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тепловые сети ГВС после ЦТП </w:t>
      </w:r>
      <w:proofErr w:type="gramStart"/>
      <w:r>
        <w:rPr>
          <w:rFonts w:eastAsia="Calibri"/>
          <w:sz w:val="24"/>
          <w:szCs w:val="24"/>
          <w:lang w:eastAsia="en-US"/>
        </w:rPr>
        <w:t>Оборонная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д. 51, работающие круглогодично в режиме циркуляции по температурным графикам 75/65°C (ТЭЦ-21);</w:t>
      </w:r>
    </w:p>
    <w:p w:rsidR="00F670A5" w:rsidRDefault="00F670A5" w:rsidP="00F670A5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– тепловые сети ГВС после НСС </w:t>
      </w:r>
      <w:proofErr w:type="gramStart"/>
      <w:r>
        <w:rPr>
          <w:rFonts w:eastAsia="Calibri"/>
          <w:sz w:val="24"/>
          <w:szCs w:val="24"/>
          <w:lang w:eastAsia="en-US"/>
        </w:rPr>
        <w:t>Школьная</w:t>
      </w:r>
      <w:proofErr w:type="gramEnd"/>
      <w:r>
        <w:rPr>
          <w:rFonts w:eastAsia="Calibri"/>
          <w:sz w:val="24"/>
          <w:szCs w:val="24"/>
          <w:lang w:eastAsia="en-US"/>
        </w:rPr>
        <w:t>, работающие круглогодично с температурой в подающем трубопроводе 70°C (ТЭЦ-21).</w:t>
      </w:r>
    </w:p>
    <w:p w:rsidR="00F670A5" w:rsidRDefault="00F670A5" w:rsidP="00F670A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составе документов АО «Теплосеть СПб» по утверждению нормативов технологических потерь представлены:</w:t>
      </w:r>
    </w:p>
    <w:p w:rsidR="00F670A5" w:rsidRDefault="00F670A5" w:rsidP="00F670A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технический отчет «Расчет нормативов технологических потерь при передаче тепловой энергии по тепловым сетям, находящимся в эксплуатационной ответственности АО «Теплосеть СПб» на территории Ленинградской области, на 2018 г.»,</w:t>
      </w:r>
    </w:p>
    <w:p w:rsidR="00F670A5" w:rsidRDefault="00F670A5" w:rsidP="00F670A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Экспертное заключение ООО «ГЦЭ-</w:t>
      </w:r>
      <w:proofErr w:type="spellStart"/>
      <w:r>
        <w:rPr>
          <w:rFonts w:eastAsia="Calibri"/>
          <w:sz w:val="24"/>
          <w:szCs w:val="24"/>
          <w:lang w:eastAsia="en-US"/>
        </w:rPr>
        <w:t>энерго</w:t>
      </w:r>
      <w:proofErr w:type="spellEnd"/>
      <w:r>
        <w:rPr>
          <w:rFonts w:eastAsia="Calibri"/>
          <w:sz w:val="24"/>
          <w:szCs w:val="24"/>
          <w:lang w:eastAsia="en-US"/>
        </w:rPr>
        <w:t>» по результатам экспертизы материалов, обосновывающих значение нормативов технологических потерь при передаче тепловой энергии по тепловым сетям, находящимся в эксплуатационной ответственности АО «Теплосеть СПб» на территории Ленинградской области, на 2018 г.»,</w:t>
      </w:r>
    </w:p>
    <w:p w:rsidR="00F670A5" w:rsidRDefault="00F670A5" w:rsidP="00F670A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прочие материалы и документы согласно списку из приказа Минэнерго России от 30 декабря 2008 года № 325.</w:t>
      </w:r>
    </w:p>
    <w:p w:rsidR="00F670A5" w:rsidRDefault="00F670A5" w:rsidP="00F670A5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результатам расчетов организации и экспертов, а также по результатам анализа представленных расчетов, выполненного ЛенРТК, к утверждению предлагаются следующие нормативы технологических потерь при передаче тепловой энергии по тепловым сетям акционерного общества «Теплосеть Санкт-Петербурга» во Всеволожском районе Ленинградской области на 2018 год:</w:t>
      </w:r>
    </w:p>
    <w:tbl>
      <w:tblPr>
        <w:tblW w:w="9381" w:type="dxa"/>
        <w:tblInd w:w="698" w:type="dxa"/>
        <w:tblLook w:val="04A0" w:firstRow="1" w:lastRow="0" w:firstColumn="1" w:lastColumn="0" w:noHBand="0" w:noVBand="1"/>
      </w:tblPr>
      <w:tblGrid>
        <w:gridCol w:w="3711"/>
        <w:gridCol w:w="1795"/>
        <w:gridCol w:w="1891"/>
        <w:gridCol w:w="1984"/>
      </w:tblGrid>
      <w:tr w:rsidR="00F670A5" w:rsidTr="00F670A5">
        <w:trPr>
          <w:trHeight w:val="6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A5" w:rsidRDefault="00F670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системы централизованного теплоснабжения, населенного пункта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A5" w:rsidRDefault="00F670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Годовые нормативные затраты и потери теплоносителя, </w:t>
            </w:r>
            <w:proofErr w:type="gramStart"/>
            <w:r>
              <w:rPr>
                <w:rFonts w:eastAsia="Calibri"/>
                <w:lang w:eastAsia="en-US"/>
              </w:rPr>
              <w:t>м</w:t>
            </w:r>
            <w:proofErr w:type="gramEnd"/>
            <w:r>
              <w:rPr>
                <w:rFonts w:eastAsia="Calibri"/>
                <w:lang w:eastAsia="en-US"/>
              </w:rPr>
              <w:t>³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A5" w:rsidRDefault="00F670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Годовые нормативные затраты и потери тепловой энергии, 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70A5" w:rsidRDefault="00F670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Годовые нормативные затраты электроэнергии, тыс. </w:t>
            </w:r>
            <w:proofErr w:type="spellStart"/>
            <w:r>
              <w:rPr>
                <w:rFonts w:eastAsia="Calibri"/>
                <w:lang w:eastAsia="en-US"/>
              </w:rPr>
              <w:t>кВт</w:t>
            </w:r>
            <w:proofErr w:type="gramStart"/>
            <w:r>
              <w:rPr>
                <w:rFonts w:eastAsia="Calibri"/>
                <w:lang w:eastAsia="en-US"/>
              </w:rPr>
              <w:t>.ч</w:t>
            </w:r>
            <w:proofErr w:type="spellEnd"/>
            <w:proofErr w:type="gramEnd"/>
          </w:p>
        </w:tc>
      </w:tr>
      <w:tr w:rsidR="00F670A5" w:rsidTr="00F670A5">
        <w:trPr>
          <w:trHeight w:val="60"/>
        </w:trPr>
        <w:tc>
          <w:tcPr>
            <w:tcW w:w="9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0A5" w:rsidRDefault="00F670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Теплоноситель - вода</w:t>
            </w:r>
          </w:p>
        </w:tc>
      </w:tr>
      <w:tr w:rsidR="00F670A5" w:rsidTr="00F670A5">
        <w:trPr>
          <w:trHeight w:val="6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A5" w:rsidRDefault="00F670A5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ТЭЦ-5, </w:t>
            </w:r>
            <w:proofErr w:type="spellStart"/>
            <w:r>
              <w:rPr>
                <w:rFonts w:eastAsia="Calibri"/>
                <w:lang w:eastAsia="en-US"/>
              </w:rPr>
              <w:t>Заневское</w:t>
            </w:r>
            <w:proofErr w:type="spellEnd"/>
            <w:r>
              <w:rPr>
                <w:rFonts w:eastAsia="Calibri"/>
                <w:lang w:eastAsia="en-US"/>
              </w:rPr>
              <w:t xml:space="preserve"> городское поселение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0A5" w:rsidRDefault="00F670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60 571,37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0A5" w:rsidRDefault="00F670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13 787,32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0A5" w:rsidRDefault="00F670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670A5" w:rsidTr="00F670A5">
        <w:trPr>
          <w:trHeight w:val="6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A5" w:rsidRDefault="00F670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ТЭЦ-21, </w:t>
            </w:r>
            <w:proofErr w:type="spellStart"/>
            <w:r>
              <w:rPr>
                <w:rFonts w:eastAsia="Calibri"/>
                <w:lang w:eastAsia="en-US"/>
              </w:rPr>
              <w:t>Новодевяткинское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сельское поселение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0A5" w:rsidRDefault="00F670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59 391,78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0A5" w:rsidRDefault="00F670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18 637,26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0A5" w:rsidRDefault="00F670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156,40</w:t>
            </w:r>
          </w:p>
        </w:tc>
      </w:tr>
      <w:tr w:rsidR="00F670A5" w:rsidTr="00F670A5">
        <w:trPr>
          <w:trHeight w:val="6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0A5" w:rsidRDefault="00F670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ТЭЦ-21, </w:t>
            </w:r>
            <w:proofErr w:type="spellStart"/>
            <w:r>
              <w:rPr>
                <w:rFonts w:eastAsia="Calibri"/>
                <w:lang w:eastAsia="en-US"/>
              </w:rPr>
              <w:t>Муринское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сельское поселение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0A5" w:rsidRDefault="00F670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30 383,96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0A5" w:rsidRDefault="00F670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9 393,21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0A5" w:rsidRDefault="00F670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-</w:t>
            </w:r>
          </w:p>
        </w:tc>
      </w:tr>
      <w:tr w:rsidR="00F670A5" w:rsidTr="00F670A5">
        <w:trPr>
          <w:trHeight w:val="6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0A5" w:rsidRDefault="00F670A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Всего по АО «Теплосеть Санкт-Петербурга» во Всеволожском районе Ленинградской области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0A5" w:rsidRDefault="00F670A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150 347,11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0A5" w:rsidRDefault="00F670A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41 817,79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70A5" w:rsidRDefault="00F670A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156,40</w:t>
            </w:r>
          </w:p>
        </w:tc>
      </w:tr>
    </w:tbl>
    <w:p w:rsidR="00F670A5" w:rsidRDefault="00F670A5" w:rsidP="00F670A5">
      <w:pPr>
        <w:ind w:firstLine="709"/>
        <w:jc w:val="both"/>
        <w:rPr>
          <w:snapToGrid w:val="0"/>
          <w:sz w:val="24"/>
          <w:szCs w:val="24"/>
        </w:rPr>
      </w:pPr>
    </w:p>
    <w:p w:rsidR="00F670A5" w:rsidRDefault="00F670A5" w:rsidP="00F670A5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4 человек, против – нет, воздержались – нет.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F670A5" w:rsidRDefault="00F670A5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F670A5" w:rsidRDefault="00F670A5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7057F1">
      <w:pgSz w:w="11906" w:h="16838"/>
      <w:pgMar w:top="993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96513"/>
    <w:multiLevelType w:val="hybridMultilevel"/>
    <w:tmpl w:val="0D16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2627EB"/>
    <w:rsid w:val="003B6B87"/>
    <w:rsid w:val="003C3D4D"/>
    <w:rsid w:val="005A40CD"/>
    <w:rsid w:val="007057F1"/>
    <w:rsid w:val="007244AB"/>
    <w:rsid w:val="007753ED"/>
    <w:rsid w:val="00840E27"/>
    <w:rsid w:val="0084613E"/>
    <w:rsid w:val="00894DB5"/>
    <w:rsid w:val="00932E36"/>
    <w:rsid w:val="009A63CA"/>
    <w:rsid w:val="00A34C6B"/>
    <w:rsid w:val="00BD37E4"/>
    <w:rsid w:val="00E36EAE"/>
    <w:rsid w:val="00E93883"/>
    <w:rsid w:val="00F6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7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7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Денис Валерьевич Рузиев</cp:lastModifiedBy>
  <cp:revision>20</cp:revision>
  <cp:lastPrinted>2018-06-01T11:02:00Z</cp:lastPrinted>
  <dcterms:created xsi:type="dcterms:W3CDTF">2014-10-27T07:45:00Z</dcterms:created>
  <dcterms:modified xsi:type="dcterms:W3CDTF">2018-07-05T11:44:00Z</dcterms:modified>
</cp:coreProperties>
</file>