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A50846">
        <w:rPr>
          <w:b/>
          <w:color w:val="000000"/>
          <w:sz w:val="24"/>
          <w:szCs w:val="24"/>
        </w:rPr>
        <w:t>1</w:t>
      </w:r>
      <w:r w:rsidR="00D3433B">
        <w:rPr>
          <w:b/>
          <w:color w:val="000000"/>
          <w:sz w:val="24"/>
          <w:szCs w:val="24"/>
        </w:rPr>
        <w:t>8</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A50846" w:rsidP="007057F1">
      <w:pPr>
        <w:rPr>
          <w:sz w:val="24"/>
          <w:szCs w:val="24"/>
        </w:rPr>
      </w:pPr>
      <w:r>
        <w:rPr>
          <w:sz w:val="24"/>
          <w:szCs w:val="24"/>
        </w:rPr>
        <w:t>1</w:t>
      </w:r>
      <w:r w:rsidR="007057F1">
        <w:rPr>
          <w:sz w:val="24"/>
          <w:szCs w:val="24"/>
        </w:rPr>
        <w:t xml:space="preserve"> </w:t>
      </w:r>
      <w:r w:rsidR="00D3433B">
        <w:rPr>
          <w:sz w:val="24"/>
          <w:szCs w:val="24"/>
        </w:rPr>
        <w:t>июня</w:t>
      </w:r>
      <w:r w:rsidR="007057F1">
        <w:rPr>
          <w:sz w:val="24"/>
          <w:szCs w:val="24"/>
        </w:rPr>
        <w:t xml:space="preserve"> 201</w:t>
      </w:r>
      <w:r w:rsidR="00E93883">
        <w:rPr>
          <w:sz w:val="24"/>
          <w:szCs w:val="24"/>
        </w:rPr>
        <w:t>7</w:t>
      </w:r>
      <w:r w:rsidR="00D3433B">
        <w:rPr>
          <w:sz w:val="24"/>
          <w:szCs w:val="24"/>
        </w:rPr>
        <w:t xml:space="preserve"> года                        </w:t>
      </w:r>
      <w:r w:rsidR="007057F1">
        <w:rPr>
          <w:sz w:val="24"/>
          <w:szCs w:val="24"/>
        </w:rPr>
        <w:t xml:space="preserve">                                                 </w:t>
      </w:r>
      <w:r>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A50846" w:rsidRPr="00A50846" w:rsidRDefault="002627EB" w:rsidP="00A50846">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proofErr w:type="spellStart"/>
      <w:r w:rsidR="00A50846" w:rsidRPr="00A50846">
        <w:rPr>
          <w:sz w:val="24"/>
          <w:szCs w:val="24"/>
        </w:rPr>
        <w:t>Синюкова</w:t>
      </w:r>
      <w:proofErr w:type="spellEnd"/>
      <w:r w:rsidR="00A50846" w:rsidRPr="00A50846">
        <w:rPr>
          <w:sz w:val="24"/>
          <w:szCs w:val="24"/>
        </w:rPr>
        <w:t xml:space="preserve"> Ирина Васильевна, Курылко Светлана Анатольевна, </w:t>
      </w:r>
      <w:proofErr w:type="spellStart"/>
      <w:r w:rsidR="00A50846" w:rsidRPr="00A50846">
        <w:rPr>
          <w:sz w:val="24"/>
          <w:szCs w:val="24"/>
        </w:rPr>
        <w:t>Коннов</w:t>
      </w:r>
      <w:proofErr w:type="spellEnd"/>
      <w:r w:rsidR="00A50846" w:rsidRPr="00A50846">
        <w:rPr>
          <w:sz w:val="24"/>
          <w:szCs w:val="24"/>
        </w:rPr>
        <w:t xml:space="preserve"> Глеб Николаевич - с правом совещательного голоса (не принимает участия в голосовании).</w:t>
      </w:r>
    </w:p>
    <w:p w:rsidR="00BD37E4" w:rsidRPr="00912606" w:rsidRDefault="00BD37E4"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7057F1" w:rsidRDefault="007057F1" w:rsidP="007057F1">
      <w:pPr>
        <w:autoSpaceDE w:val="0"/>
        <w:autoSpaceDN w:val="0"/>
        <w:adjustRightInd w:val="0"/>
        <w:ind w:right="-1"/>
        <w:jc w:val="both"/>
        <w:rPr>
          <w:sz w:val="24"/>
          <w:szCs w:val="24"/>
        </w:rPr>
      </w:pPr>
    </w:p>
    <w:p w:rsidR="00D3433B" w:rsidRPr="00D3433B" w:rsidRDefault="00D3433B" w:rsidP="00D3433B">
      <w:pPr>
        <w:numPr>
          <w:ilvl w:val="0"/>
          <w:numId w:val="3"/>
        </w:numPr>
        <w:ind w:left="0" w:firstLine="360"/>
        <w:jc w:val="both"/>
        <w:rPr>
          <w:sz w:val="24"/>
          <w:szCs w:val="24"/>
        </w:rPr>
      </w:pPr>
      <w:r w:rsidRPr="00D3433B">
        <w:rPr>
          <w:sz w:val="24"/>
          <w:szCs w:val="24"/>
        </w:rPr>
        <w:t xml:space="preserve">Об установлении розничных цен на природный газ, реализуемый обществом с ограниченной  ответственностью «Газпром </w:t>
      </w:r>
      <w:proofErr w:type="spellStart"/>
      <w:r w:rsidRPr="00D3433B">
        <w:rPr>
          <w:sz w:val="24"/>
          <w:szCs w:val="24"/>
        </w:rPr>
        <w:t>межрегионгаз</w:t>
      </w:r>
      <w:proofErr w:type="spellEnd"/>
      <w:r w:rsidRPr="00D3433B">
        <w:rPr>
          <w:sz w:val="24"/>
          <w:szCs w:val="24"/>
        </w:rPr>
        <w:t xml:space="preserve"> Санкт-Петербург» населению на территории Ленинградской области, на период с 1 июля 2017 года по 30 июня 2018 года.</w:t>
      </w:r>
    </w:p>
    <w:p w:rsidR="00D3433B" w:rsidRPr="00D3433B" w:rsidRDefault="00D3433B" w:rsidP="00D3433B">
      <w:pPr>
        <w:numPr>
          <w:ilvl w:val="0"/>
          <w:numId w:val="3"/>
        </w:numPr>
        <w:ind w:left="0" w:firstLine="360"/>
        <w:jc w:val="both"/>
        <w:rPr>
          <w:sz w:val="24"/>
          <w:szCs w:val="24"/>
        </w:rPr>
      </w:pPr>
      <w:proofErr w:type="gramStart"/>
      <w:r w:rsidRPr="00D3433B">
        <w:rPr>
          <w:sz w:val="24"/>
          <w:szCs w:val="24"/>
        </w:rPr>
        <w:t xml:space="preserve">Об установлении платы за подключение (технологическое присоединение) к системе теплоснабжения акционерного общества «Газпром </w:t>
      </w:r>
      <w:proofErr w:type="spellStart"/>
      <w:r w:rsidRPr="00D3433B">
        <w:rPr>
          <w:sz w:val="24"/>
          <w:szCs w:val="24"/>
        </w:rPr>
        <w:t>теплоэнерго</w:t>
      </w:r>
      <w:proofErr w:type="spellEnd"/>
      <w:r w:rsidRPr="00D3433B">
        <w:rPr>
          <w:sz w:val="24"/>
          <w:szCs w:val="24"/>
        </w:rPr>
        <w:t>» (филиал в Ленинградской области)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«Тихвинское городское поселение» Тихвинского муниципального района Ленинградской области, на 2017 год.</w:t>
      </w:r>
      <w:proofErr w:type="gramEnd"/>
    </w:p>
    <w:p w:rsidR="00D3433B" w:rsidRPr="00D3433B" w:rsidRDefault="00D3433B" w:rsidP="00D3433B">
      <w:pPr>
        <w:numPr>
          <w:ilvl w:val="0"/>
          <w:numId w:val="3"/>
        </w:numPr>
        <w:ind w:left="0" w:firstLine="360"/>
        <w:jc w:val="both"/>
        <w:rPr>
          <w:sz w:val="24"/>
          <w:szCs w:val="24"/>
        </w:rPr>
      </w:pPr>
      <w:proofErr w:type="gramStart"/>
      <w:r w:rsidRPr="00D3433B">
        <w:rPr>
          <w:sz w:val="24"/>
          <w:szCs w:val="24"/>
        </w:rPr>
        <w:t xml:space="preserve">Об установлении платы за подключение (технологическое присоединение) к системе теплоснабжения </w:t>
      </w:r>
      <w:proofErr w:type="spellStart"/>
      <w:r w:rsidRPr="00D3433B">
        <w:rPr>
          <w:sz w:val="24"/>
          <w:szCs w:val="24"/>
        </w:rPr>
        <w:t>Сосновоборского</w:t>
      </w:r>
      <w:proofErr w:type="spellEnd"/>
      <w:r w:rsidRPr="00D3433B">
        <w:rPr>
          <w:sz w:val="24"/>
          <w:szCs w:val="24"/>
        </w:rPr>
        <w:t xml:space="preserve"> муниципального унитарного предприятия  «Теплоснабжающее предприятие»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D3433B">
        <w:rPr>
          <w:sz w:val="24"/>
          <w:szCs w:val="24"/>
        </w:rPr>
        <w:t>Сосновоборский</w:t>
      </w:r>
      <w:proofErr w:type="spellEnd"/>
      <w:r w:rsidRPr="00D3433B">
        <w:rPr>
          <w:sz w:val="24"/>
          <w:szCs w:val="24"/>
        </w:rPr>
        <w:t xml:space="preserve"> городской округ» Ленинградской области, на 2018 год.</w:t>
      </w:r>
      <w:proofErr w:type="gramEnd"/>
    </w:p>
    <w:p w:rsidR="00916314" w:rsidRPr="00916314" w:rsidRDefault="00916314" w:rsidP="00916314">
      <w:pPr>
        <w:ind w:firstLine="708"/>
        <w:jc w:val="both"/>
        <w:rPr>
          <w:b/>
          <w:bCs/>
          <w:sz w:val="24"/>
          <w:szCs w:val="24"/>
        </w:rPr>
      </w:pPr>
      <w:r>
        <w:rPr>
          <w:b/>
          <w:sz w:val="24"/>
          <w:szCs w:val="24"/>
        </w:rPr>
        <w:t xml:space="preserve">1. </w:t>
      </w:r>
      <w:proofErr w:type="gramStart"/>
      <w:r w:rsidRPr="00916314">
        <w:rPr>
          <w:b/>
          <w:sz w:val="24"/>
          <w:szCs w:val="24"/>
        </w:rPr>
        <w:t xml:space="preserve">По вопросу повестки «Об установлении розничных цен на природный газ, реализуемый обществом с ограниченной ответственностью «Газпром </w:t>
      </w:r>
      <w:proofErr w:type="spellStart"/>
      <w:r w:rsidRPr="00916314">
        <w:rPr>
          <w:b/>
          <w:sz w:val="24"/>
          <w:szCs w:val="24"/>
        </w:rPr>
        <w:t>межрегионгаз</w:t>
      </w:r>
      <w:proofErr w:type="spellEnd"/>
      <w:r w:rsidRPr="00916314">
        <w:rPr>
          <w:b/>
          <w:sz w:val="24"/>
          <w:szCs w:val="24"/>
        </w:rPr>
        <w:t xml:space="preserve"> Санкт-Петербург» населению на территории Ленинградской области, на период с 1 июля 2017 года по 30 июня 2018 года»</w:t>
      </w:r>
      <w:r w:rsidRPr="00916314">
        <w:rPr>
          <w:b/>
          <w:bCs/>
          <w:sz w:val="24"/>
          <w:szCs w:val="24"/>
        </w:rPr>
        <w:t xml:space="preserve"> </w:t>
      </w:r>
      <w:r w:rsidRPr="00916314">
        <w:rPr>
          <w:sz w:val="24"/>
          <w:szCs w:val="24"/>
        </w:rPr>
        <w:t xml:space="preserve">выступила заместитель начальника департамента контроля и регулирования тарифов газоснабжения и социально значимых товаров – начальник отдела регулирования социально значимых товаров и тарифов газоснабжения ЛенРТК </w:t>
      </w:r>
      <w:proofErr w:type="spellStart"/>
      <w:r w:rsidRPr="00916314">
        <w:rPr>
          <w:sz w:val="24"/>
          <w:szCs w:val="24"/>
        </w:rPr>
        <w:t>Синюкова</w:t>
      </w:r>
      <w:proofErr w:type="spellEnd"/>
      <w:r w:rsidRPr="00916314">
        <w:rPr>
          <w:sz w:val="24"/>
          <w:szCs w:val="24"/>
        </w:rPr>
        <w:t xml:space="preserve"> И.</w:t>
      </w:r>
      <w:proofErr w:type="gramEnd"/>
      <w:r w:rsidRPr="00916314">
        <w:rPr>
          <w:sz w:val="24"/>
          <w:szCs w:val="24"/>
        </w:rPr>
        <w:t>Ю.:</w:t>
      </w:r>
    </w:p>
    <w:p w:rsidR="00916314" w:rsidRPr="00916314" w:rsidRDefault="00916314" w:rsidP="00916314">
      <w:pPr>
        <w:ind w:firstLine="708"/>
        <w:jc w:val="both"/>
        <w:rPr>
          <w:sz w:val="24"/>
          <w:szCs w:val="24"/>
        </w:rPr>
      </w:pPr>
      <w:r w:rsidRPr="00916314">
        <w:rPr>
          <w:sz w:val="24"/>
          <w:szCs w:val="24"/>
        </w:rPr>
        <w:t xml:space="preserve">- озвучила размер розничных цен на природный газ, реализуемый обществом с ограниченной ответственностью «Газпром </w:t>
      </w:r>
      <w:proofErr w:type="spellStart"/>
      <w:r w:rsidRPr="00916314">
        <w:rPr>
          <w:sz w:val="24"/>
          <w:szCs w:val="24"/>
        </w:rPr>
        <w:t>межрегионгаз</w:t>
      </w:r>
      <w:proofErr w:type="spellEnd"/>
      <w:r w:rsidRPr="00916314">
        <w:rPr>
          <w:sz w:val="24"/>
          <w:szCs w:val="24"/>
        </w:rPr>
        <w:t xml:space="preserve"> Санкт-Петербург» населению на территории Ленинградской области, на период с 1 июля 2017 года по 30 июня 2018 года согласно расчету ЛенРТК;</w:t>
      </w:r>
    </w:p>
    <w:p w:rsidR="00916314" w:rsidRPr="00916314" w:rsidRDefault="00916314" w:rsidP="00916314">
      <w:pPr>
        <w:ind w:firstLine="709"/>
        <w:jc w:val="both"/>
        <w:rPr>
          <w:sz w:val="24"/>
          <w:szCs w:val="24"/>
        </w:rPr>
      </w:pPr>
      <w:r w:rsidRPr="00916314">
        <w:rPr>
          <w:sz w:val="24"/>
          <w:szCs w:val="24"/>
        </w:rPr>
        <w:tab/>
      </w:r>
      <w:proofErr w:type="gramStart"/>
      <w:r w:rsidRPr="00916314">
        <w:rPr>
          <w:sz w:val="24"/>
          <w:szCs w:val="24"/>
        </w:rPr>
        <w:t xml:space="preserve">- доложила, что расчет розничных цен на природный газ, реализуемый ООО «Газпром </w:t>
      </w:r>
      <w:proofErr w:type="spellStart"/>
      <w:r w:rsidRPr="00916314">
        <w:rPr>
          <w:sz w:val="24"/>
          <w:szCs w:val="24"/>
        </w:rPr>
        <w:t>межрегионгаз</w:t>
      </w:r>
      <w:proofErr w:type="spellEnd"/>
      <w:r w:rsidRPr="00916314">
        <w:rPr>
          <w:sz w:val="24"/>
          <w:szCs w:val="24"/>
        </w:rPr>
        <w:t xml:space="preserve"> Санкт-Петербург» населению на территории Ленинградской области, на период с    1 июля 2017 года по 30 июня 2018 года произведен в соответствии с Методическими указаниями по регулированию розничных цен на газ, реализуемый населению, утвержденными  приказом Федеральной службы по тарифам (далее – ФСТ России) от 27 октября 2011 года № 252-э/2</w:t>
      </w:r>
      <w:proofErr w:type="gramEnd"/>
      <w:r w:rsidRPr="00916314">
        <w:rPr>
          <w:sz w:val="24"/>
          <w:szCs w:val="24"/>
        </w:rPr>
        <w:t xml:space="preserve"> «Об утверждении Методических указаний по регулированию розничных цен на газ, реализуемый населению», с учетом следующих нормативных правовых актов: </w:t>
      </w:r>
    </w:p>
    <w:p w:rsidR="00916314" w:rsidRPr="00916314" w:rsidRDefault="00916314" w:rsidP="00916314">
      <w:pPr>
        <w:numPr>
          <w:ilvl w:val="0"/>
          <w:numId w:val="7"/>
        </w:numPr>
        <w:tabs>
          <w:tab w:val="num" w:pos="1260"/>
          <w:tab w:val="left" w:pos="10488"/>
        </w:tabs>
        <w:ind w:left="0" w:right="-2" w:firstLine="851"/>
        <w:jc w:val="both"/>
        <w:rPr>
          <w:sz w:val="24"/>
          <w:szCs w:val="24"/>
          <w:lang w:val="x-none" w:eastAsia="x-none"/>
        </w:rPr>
      </w:pPr>
      <w:r w:rsidRPr="00916314">
        <w:rPr>
          <w:sz w:val="24"/>
          <w:szCs w:val="24"/>
          <w:lang w:val="x-none" w:eastAsia="x-none"/>
        </w:rPr>
        <w:t>Приказ Федеральной антимонопольной службы (далее – ФАС России) от 26.12.2016 года № 1870/16 «Об утверждении оптовых ценах на газ, добываемый ПАО «Газпром» и его аффилированными лицами, предназначенный для последующей реализации населению»;</w:t>
      </w:r>
    </w:p>
    <w:p w:rsidR="00916314" w:rsidRPr="00916314" w:rsidRDefault="00916314" w:rsidP="00916314">
      <w:pPr>
        <w:numPr>
          <w:ilvl w:val="0"/>
          <w:numId w:val="7"/>
        </w:numPr>
        <w:tabs>
          <w:tab w:val="num" w:pos="1260"/>
          <w:tab w:val="left" w:pos="10488"/>
        </w:tabs>
        <w:ind w:left="0" w:right="-2" w:firstLine="851"/>
        <w:jc w:val="both"/>
        <w:rPr>
          <w:sz w:val="24"/>
          <w:szCs w:val="24"/>
          <w:lang w:val="x-none" w:eastAsia="x-none"/>
        </w:rPr>
      </w:pPr>
      <w:r w:rsidRPr="00916314">
        <w:rPr>
          <w:sz w:val="24"/>
          <w:szCs w:val="24"/>
          <w:lang w:val="x-none" w:eastAsia="x-none"/>
        </w:rPr>
        <w:t xml:space="preserve">Приказ ФАС России от 15 марта 2016 года № 246/16 «Об утверждении размера платы за снабженческо-сбытовые услуги, оказываемые потребителям газа ООО «Газпром </w:t>
      </w:r>
      <w:proofErr w:type="spellStart"/>
      <w:r w:rsidRPr="00916314">
        <w:rPr>
          <w:sz w:val="24"/>
          <w:szCs w:val="24"/>
          <w:lang w:val="x-none" w:eastAsia="x-none"/>
        </w:rPr>
        <w:t>межрегионгаз</w:t>
      </w:r>
      <w:proofErr w:type="spellEnd"/>
      <w:r w:rsidRPr="00916314">
        <w:rPr>
          <w:sz w:val="24"/>
          <w:szCs w:val="24"/>
          <w:lang w:val="x-none" w:eastAsia="x-none"/>
        </w:rPr>
        <w:t xml:space="preserve"> Санкт-Петербург»  на территории Республики Карелия, Калининградской, Ленинградской областей и </w:t>
      </w:r>
      <w:proofErr w:type="spellStart"/>
      <w:r w:rsidRPr="00916314">
        <w:rPr>
          <w:sz w:val="24"/>
          <w:szCs w:val="24"/>
          <w:lang w:val="x-none" w:eastAsia="x-none"/>
        </w:rPr>
        <w:t>г.Санкт</w:t>
      </w:r>
      <w:proofErr w:type="spellEnd"/>
      <w:r w:rsidRPr="00916314">
        <w:rPr>
          <w:sz w:val="24"/>
          <w:szCs w:val="24"/>
          <w:lang w:val="x-none" w:eastAsia="x-none"/>
        </w:rPr>
        <w:t>-Петербург»;</w:t>
      </w:r>
    </w:p>
    <w:p w:rsidR="00916314" w:rsidRPr="00916314" w:rsidRDefault="00916314" w:rsidP="00916314">
      <w:pPr>
        <w:numPr>
          <w:ilvl w:val="0"/>
          <w:numId w:val="7"/>
        </w:numPr>
        <w:tabs>
          <w:tab w:val="num" w:pos="1260"/>
          <w:tab w:val="left" w:pos="10488"/>
        </w:tabs>
        <w:ind w:left="0" w:right="-2" w:firstLine="851"/>
        <w:jc w:val="both"/>
        <w:rPr>
          <w:sz w:val="24"/>
          <w:szCs w:val="24"/>
          <w:lang w:val="x-none" w:eastAsia="x-none"/>
        </w:rPr>
      </w:pPr>
      <w:r w:rsidRPr="00916314">
        <w:rPr>
          <w:sz w:val="24"/>
          <w:szCs w:val="24"/>
          <w:lang w:val="x-none" w:eastAsia="x-none"/>
        </w:rPr>
        <w:lastRenderedPageBreak/>
        <w:t>Приказ Федеральной службы по тарифам (далее – ФСТ России) от  28 апреля 2015 года № 108-э/1 «Об утверждении размера платы за снабженческо-сбытовые услуги, оказываемые потребителям поставщиками газа, и тарифов на услуги по транспортировке газа по газораспределительным сетям на территории Республики Карелия, Ленинградской области и г. Санкт-Петербург»;</w:t>
      </w:r>
    </w:p>
    <w:p w:rsidR="00916314" w:rsidRPr="00916314" w:rsidRDefault="00916314" w:rsidP="00916314">
      <w:pPr>
        <w:numPr>
          <w:ilvl w:val="0"/>
          <w:numId w:val="8"/>
        </w:numPr>
        <w:ind w:left="0" w:right="-2" w:firstLine="851"/>
        <w:jc w:val="both"/>
        <w:rPr>
          <w:sz w:val="24"/>
          <w:szCs w:val="24"/>
          <w:lang w:val="x-none" w:eastAsia="x-none"/>
        </w:rPr>
      </w:pPr>
      <w:r w:rsidRPr="00916314">
        <w:rPr>
          <w:sz w:val="24"/>
          <w:szCs w:val="24"/>
          <w:lang w:val="x-none" w:eastAsia="x-none"/>
        </w:rPr>
        <w:t>Приказ комитета по тарифам и ценовой политике Ленинградской области (далее – ЛенРТК) от 06 декабря 2016 года № 235-п «Об установлении специальных надбавок к тарифам на транспортировку газа по газораспределительным сетям акционерного общества «Газпром газораспределение Ленинградская область» потребителям Ленинградской области, предназначенных для финансирования программы газификации Ленинградской области, на 2017 год».</w:t>
      </w:r>
    </w:p>
    <w:p w:rsidR="00916314" w:rsidRPr="00916314" w:rsidRDefault="00916314" w:rsidP="00916314">
      <w:pPr>
        <w:ind w:firstLine="708"/>
        <w:jc w:val="both"/>
        <w:rPr>
          <w:sz w:val="24"/>
          <w:szCs w:val="24"/>
        </w:rPr>
      </w:pPr>
      <w:proofErr w:type="gramStart"/>
      <w:r w:rsidRPr="00916314">
        <w:rPr>
          <w:sz w:val="24"/>
          <w:szCs w:val="24"/>
        </w:rPr>
        <w:t xml:space="preserve">ЛенРТК предлагает утвердить дифференцированные по направлениям использования розничные цены на природный газ, реализуемый ООО «Газпром </w:t>
      </w:r>
      <w:proofErr w:type="spellStart"/>
      <w:r w:rsidRPr="00916314">
        <w:rPr>
          <w:sz w:val="24"/>
          <w:szCs w:val="24"/>
        </w:rPr>
        <w:t>межрегионгаз</w:t>
      </w:r>
      <w:proofErr w:type="spellEnd"/>
      <w:r w:rsidRPr="00916314">
        <w:rPr>
          <w:sz w:val="24"/>
          <w:szCs w:val="24"/>
        </w:rPr>
        <w:t xml:space="preserve"> Санкт-Петербург» населению на территории Ленинградской области, на период с 01 июля 2017 года по 30 июня 2018 года с индексацией 3,9%, не превышающей прогноз социально-экономического развития Российской Федерации на 2017 год и на плановый период 2018 и 2019 годов, одобренный на заседании Правительства Российской</w:t>
      </w:r>
      <w:proofErr w:type="gramEnd"/>
      <w:r w:rsidRPr="00916314">
        <w:rPr>
          <w:sz w:val="24"/>
          <w:szCs w:val="24"/>
        </w:rPr>
        <w:t xml:space="preserve"> Федерации 13.10.2016. </w:t>
      </w:r>
    </w:p>
    <w:p w:rsidR="00916314" w:rsidRPr="00916314" w:rsidRDefault="00916314" w:rsidP="00916314">
      <w:pPr>
        <w:ind w:firstLine="708"/>
        <w:jc w:val="both"/>
        <w:rPr>
          <w:sz w:val="24"/>
          <w:szCs w:val="24"/>
        </w:rPr>
      </w:pPr>
      <w:proofErr w:type="gramStart"/>
      <w:r w:rsidRPr="00916314">
        <w:rPr>
          <w:sz w:val="24"/>
          <w:szCs w:val="24"/>
        </w:rPr>
        <w:t xml:space="preserve">- представила письмо ООО «Газпром </w:t>
      </w:r>
      <w:proofErr w:type="spellStart"/>
      <w:r w:rsidRPr="00916314">
        <w:rPr>
          <w:sz w:val="24"/>
          <w:szCs w:val="24"/>
        </w:rPr>
        <w:t>межрегионгаз</w:t>
      </w:r>
      <w:proofErr w:type="spellEnd"/>
      <w:r w:rsidRPr="00916314">
        <w:rPr>
          <w:sz w:val="24"/>
          <w:szCs w:val="24"/>
        </w:rPr>
        <w:t xml:space="preserve"> Санкт-Петербург»</w:t>
      </w:r>
      <w:r w:rsidRPr="00916314">
        <w:rPr>
          <w:b/>
          <w:sz w:val="24"/>
          <w:szCs w:val="24"/>
        </w:rPr>
        <w:t xml:space="preserve"> </w:t>
      </w:r>
      <w:r w:rsidRPr="00916314">
        <w:rPr>
          <w:sz w:val="24"/>
          <w:szCs w:val="24"/>
        </w:rPr>
        <w:t xml:space="preserve">с просьбой рассмотреть вопрос об установлении розничных цен на природный газ, реализуемый ООО «Газпром </w:t>
      </w:r>
      <w:proofErr w:type="spellStart"/>
      <w:r w:rsidRPr="00916314">
        <w:rPr>
          <w:sz w:val="24"/>
          <w:szCs w:val="24"/>
        </w:rPr>
        <w:t>межрегионгаз</w:t>
      </w:r>
      <w:proofErr w:type="spellEnd"/>
      <w:r w:rsidRPr="00916314">
        <w:rPr>
          <w:sz w:val="24"/>
          <w:szCs w:val="24"/>
        </w:rPr>
        <w:t xml:space="preserve"> Санкт-Петербург» населению на территории Ленинградской области, на период с 1 июля 2017 года по 30 июня 2018 года в отсутствии представителей предприятия от 31.05.2017 № ВО-06-01/5272 (</w:t>
      </w:r>
      <w:proofErr w:type="spellStart"/>
      <w:r w:rsidRPr="00916314">
        <w:rPr>
          <w:sz w:val="24"/>
          <w:szCs w:val="24"/>
        </w:rPr>
        <w:t>вх</w:t>
      </w:r>
      <w:proofErr w:type="spellEnd"/>
      <w:r w:rsidRPr="00916314">
        <w:rPr>
          <w:sz w:val="24"/>
          <w:szCs w:val="24"/>
        </w:rPr>
        <w:t>.</w:t>
      </w:r>
      <w:proofErr w:type="gramEnd"/>
      <w:r w:rsidRPr="00916314">
        <w:rPr>
          <w:sz w:val="24"/>
          <w:szCs w:val="24"/>
        </w:rPr>
        <w:t xml:space="preserve"> ЛенРТК от 01.06.2017 № КТ-1-3290/17-0-0), а также в следующих периодах регулирования в связи с увеличением доли объема по направлению использования «отопление» предусмотреть поэтапное  увеличение розничных цен на природный газ по направлению использования « отопление» в целях недопущения выпадающих доходов.</w:t>
      </w:r>
    </w:p>
    <w:p w:rsidR="00916314" w:rsidRPr="00916314" w:rsidRDefault="00916314" w:rsidP="00916314">
      <w:pPr>
        <w:jc w:val="both"/>
        <w:rPr>
          <w:b/>
          <w:snapToGrid w:val="0"/>
          <w:sz w:val="24"/>
          <w:szCs w:val="24"/>
        </w:rPr>
      </w:pPr>
    </w:p>
    <w:p w:rsidR="00916314" w:rsidRDefault="00916314" w:rsidP="00916314">
      <w:pPr>
        <w:ind w:firstLine="567"/>
        <w:jc w:val="both"/>
        <w:rPr>
          <w:b/>
          <w:snapToGrid w:val="0"/>
          <w:sz w:val="24"/>
          <w:szCs w:val="24"/>
        </w:rPr>
      </w:pPr>
      <w:r w:rsidRPr="00916314">
        <w:rPr>
          <w:b/>
          <w:snapToGrid w:val="0"/>
          <w:sz w:val="24"/>
          <w:szCs w:val="24"/>
        </w:rPr>
        <w:t>Правление приняло решение:</w:t>
      </w:r>
    </w:p>
    <w:p w:rsidR="00916314" w:rsidRPr="00916314" w:rsidRDefault="00916314" w:rsidP="00916314">
      <w:pPr>
        <w:ind w:firstLine="567"/>
        <w:jc w:val="both"/>
        <w:rPr>
          <w:b/>
          <w:snapToGrid w:val="0"/>
          <w:sz w:val="24"/>
          <w:szCs w:val="24"/>
        </w:rPr>
      </w:pPr>
    </w:p>
    <w:p w:rsidR="00916314" w:rsidRPr="00916314" w:rsidRDefault="00916314" w:rsidP="00916314">
      <w:pPr>
        <w:widowControl w:val="0"/>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916314">
        <w:rPr>
          <w:sz w:val="24"/>
          <w:szCs w:val="24"/>
        </w:rPr>
        <w:t xml:space="preserve">Установить розничные цены на природный газ, реализуемый обществом с ограниченной ответственностью «Газпром </w:t>
      </w:r>
      <w:proofErr w:type="spellStart"/>
      <w:r w:rsidRPr="00916314">
        <w:rPr>
          <w:sz w:val="24"/>
          <w:szCs w:val="24"/>
        </w:rPr>
        <w:t>межрегионгаз</w:t>
      </w:r>
      <w:proofErr w:type="spellEnd"/>
      <w:r w:rsidRPr="00916314">
        <w:rPr>
          <w:sz w:val="24"/>
          <w:szCs w:val="24"/>
        </w:rPr>
        <w:t xml:space="preserve"> Санкт-Петербург» населению на территории Ленинградской области, на период с 1 июля 2017 года по     30 июня 2018 года, в следующих размерах:</w:t>
      </w:r>
    </w:p>
    <w:tbl>
      <w:tblPr>
        <w:tblW w:w="10023"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768"/>
        <w:gridCol w:w="2637"/>
      </w:tblGrid>
      <w:tr w:rsidR="00916314" w:rsidRPr="00916314" w:rsidTr="006F6291">
        <w:trPr>
          <w:trHeight w:val="734"/>
          <w:jc w:val="center"/>
        </w:trPr>
        <w:tc>
          <w:tcPr>
            <w:tcW w:w="618" w:type="dxa"/>
            <w:shd w:val="clear" w:color="auto" w:fill="auto"/>
            <w:vAlign w:val="center"/>
          </w:tcPr>
          <w:p w:rsidR="00916314" w:rsidRPr="00916314" w:rsidRDefault="00916314" w:rsidP="00916314">
            <w:pPr>
              <w:jc w:val="center"/>
              <w:rPr>
                <w:b/>
              </w:rPr>
            </w:pPr>
            <w:r w:rsidRPr="00916314">
              <w:rPr>
                <w:b/>
              </w:rPr>
              <w:t xml:space="preserve">№ </w:t>
            </w:r>
            <w:proofErr w:type="gramStart"/>
            <w:r w:rsidRPr="00916314">
              <w:rPr>
                <w:b/>
              </w:rPr>
              <w:t>п</w:t>
            </w:r>
            <w:proofErr w:type="gramEnd"/>
            <w:r w:rsidRPr="00916314">
              <w:rPr>
                <w:b/>
              </w:rPr>
              <w:t>/п</w:t>
            </w:r>
          </w:p>
        </w:tc>
        <w:tc>
          <w:tcPr>
            <w:tcW w:w="6768" w:type="dxa"/>
            <w:shd w:val="clear" w:color="auto" w:fill="auto"/>
            <w:vAlign w:val="center"/>
          </w:tcPr>
          <w:p w:rsidR="00916314" w:rsidRPr="00916314" w:rsidRDefault="00916314" w:rsidP="00916314">
            <w:pPr>
              <w:jc w:val="center"/>
              <w:rPr>
                <w:b/>
              </w:rPr>
            </w:pPr>
            <w:r w:rsidRPr="00916314">
              <w:rPr>
                <w:b/>
              </w:rPr>
              <w:t>Направления использования газа</w:t>
            </w:r>
          </w:p>
        </w:tc>
        <w:tc>
          <w:tcPr>
            <w:tcW w:w="2637" w:type="dxa"/>
            <w:vAlign w:val="center"/>
          </w:tcPr>
          <w:p w:rsidR="00916314" w:rsidRPr="00916314" w:rsidRDefault="00916314" w:rsidP="00916314">
            <w:pPr>
              <w:jc w:val="center"/>
              <w:rPr>
                <w:b/>
              </w:rPr>
            </w:pPr>
            <w:r w:rsidRPr="00916314">
              <w:rPr>
                <w:b/>
              </w:rPr>
              <w:t xml:space="preserve">Розничные цены на природный газ, </w:t>
            </w:r>
          </w:p>
          <w:p w:rsidR="00916314" w:rsidRPr="00916314" w:rsidRDefault="00916314" w:rsidP="00916314">
            <w:pPr>
              <w:jc w:val="center"/>
              <w:rPr>
                <w:b/>
              </w:rPr>
            </w:pPr>
            <w:proofErr w:type="spellStart"/>
            <w:r w:rsidRPr="00916314">
              <w:rPr>
                <w:b/>
              </w:rPr>
              <w:t>руб</w:t>
            </w:r>
            <w:proofErr w:type="gramStart"/>
            <w:r w:rsidRPr="00916314">
              <w:rPr>
                <w:b/>
              </w:rPr>
              <w:t>.з</w:t>
            </w:r>
            <w:proofErr w:type="gramEnd"/>
            <w:r w:rsidRPr="00916314">
              <w:rPr>
                <w:b/>
              </w:rPr>
              <w:t>а</w:t>
            </w:r>
            <w:proofErr w:type="spellEnd"/>
            <w:r w:rsidRPr="00916314">
              <w:rPr>
                <w:b/>
              </w:rPr>
              <w:t xml:space="preserve"> 1000 </w:t>
            </w:r>
            <w:proofErr w:type="spellStart"/>
            <w:r w:rsidRPr="00916314">
              <w:rPr>
                <w:b/>
              </w:rPr>
              <w:t>куб.м</w:t>
            </w:r>
            <w:proofErr w:type="spellEnd"/>
            <w:r w:rsidRPr="00916314">
              <w:rPr>
                <w:b/>
              </w:rPr>
              <w:t>.</w:t>
            </w:r>
          </w:p>
        </w:tc>
      </w:tr>
      <w:tr w:rsidR="00916314" w:rsidRPr="00916314" w:rsidTr="00916314">
        <w:trPr>
          <w:trHeight w:val="60"/>
          <w:jc w:val="center"/>
        </w:trPr>
        <w:tc>
          <w:tcPr>
            <w:tcW w:w="618" w:type="dxa"/>
            <w:shd w:val="clear" w:color="auto" w:fill="auto"/>
            <w:noWrap/>
            <w:vAlign w:val="center"/>
          </w:tcPr>
          <w:p w:rsidR="00916314" w:rsidRPr="00916314" w:rsidRDefault="00916314" w:rsidP="00916314">
            <w:pPr>
              <w:jc w:val="center"/>
            </w:pPr>
            <w:r w:rsidRPr="00916314">
              <w:t>1.</w:t>
            </w:r>
          </w:p>
        </w:tc>
        <w:tc>
          <w:tcPr>
            <w:tcW w:w="6768" w:type="dxa"/>
            <w:shd w:val="clear" w:color="auto" w:fill="auto"/>
            <w:vAlign w:val="center"/>
          </w:tcPr>
          <w:p w:rsidR="00916314" w:rsidRPr="00916314" w:rsidRDefault="00916314" w:rsidP="00916314">
            <w:pPr>
              <w:jc w:val="both"/>
            </w:pPr>
            <w:r w:rsidRPr="00916314">
              <w:t>На приготовление пищи и нагрев воды с использованием газовой плиты (в отсутствие других направлений использования газа)</w:t>
            </w:r>
          </w:p>
        </w:tc>
        <w:tc>
          <w:tcPr>
            <w:tcW w:w="2637" w:type="dxa"/>
            <w:vAlign w:val="center"/>
          </w:tcPr>
          <w:p w:rsidR="00916314" w:rsidRPr="00916314" w:rsidRDefault="00916314" w:rsidP="00916314">
            <w:pPr>
              <w:jc w:val="center"/>
            </w:pPr>
            <w:r w:rsidRPr="00916314">
              <w:t>6194,45</w:t>
            </w:r>
          </w:p>
        </w:tc>
      </w:tr>
      <w:tr w:rsidR="00916314" w:rsidRPr="00916314" w:rsidTr="00916314">
        <w:trPr>
          <w:trHeight w:val="60"/>
          <w:jc w:val="center"/>
        </w:trPr>
        <w:tc>
          <w:tcPr>
            <w:tcW w:w="618" w:type="dxa"/>
            <w:shd w:val="clear" w:color="auto" w:fill="auto"/>
            <w:noWrap/>
            <w:vAlign w:val="center"/>
          </w:tcPr>
          <w:p w:rsidR="00916314" w:rsidRPr="00916314" w:rsidRDefault="00916314" w:rsidP="00916314">
            <w:pPr>
              <w:jc w:val="center"/>
            </w:pPr>
            <w:r w:rsidRPr="00916314">
              <w:t>2.</w:t>
            </w:r>
          </w:p>
        </w:tc>
        <w:tc>
          <w:tcPr>
            <w:tcW w:w="6768" w:type="dxa"/>
            <w:shd w:val="clear" w:color="auto" w:fill="auto"/>
            <w:vAlign w:val="center"/>
          </w:tcPr>
          <w:p w:rsidR="00916314" w:rsidRPr="00916314" w:rsidRDefault="00916314" w:rsidP="00916314">
            <w:pPr>
              <w:jc w:val="both"/>
            </w:pPr>
            <w:r w:rsidRPr="00916314">
              <w:t>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637" w:type="dxa"/>
            <w:vAlign w:val="center"/>
          </w:tcPr>
          <w:p w:rsidR="00916314" w:rsidRPr="00916314" w:rsidRDefault="00916314" w:rsidP="00916314">
            <w:pPr>
              <w:jc w:val="center"/>
            </w:pPr>
            <w:r w:rsidRPr="00916314">
              <w:t>6194,45</w:t>
            </w:r>
          </w:p>
        </w:tc>
      </w:tr>
      <w:tr w:rsidR="00916314" w:rsidRPr="00916314" w:rsidTr="00916314">
        <w:trPr>
          <w:trHeight w:val="60"/>
          <w:jc w:val="center"/>
        </w:trPr>
        <w:tc>
          <w:tcPr>
            <w:tcW w:w="618" w:type="dxa"/>
            <w:shd w:val="clear" w:color="auto" w:fill="auto"/>
            <w:noWrap/>
            <w:vAlign w:val="center"/>
          </w:tcPr>
          <w:p w:rsidR="00916314" w:rsidRPr="00916314" w:rsidRDefault="00916314" w:rsidP="00916314">
            <w:pPr>
              <w:jc w:val="center"/>
            </w:pPr>
            <w:r w:rsidRPr="00916314">
              <w:t>3.</w:t>
            </w:r>
          </w:p>
        </w:tc>
        <w:tc>
          <w:tcPr>
            <w:tcW w:w="6768" w:type="dxa"/>
            <w:shd w:val="clear" w:color="auto" w:fill="auto"/>
            <w:vAlign w:val="center"/>
          </w:tcPr>
          <w:p w:rsidR="00916314" w:rsidRPr="00916314" w:rsidRDefault="00916314" w:rsidP="00916314">
            <w:pPr>
              <w:jc w:val="both"/>
            </w:pPr>
            <w:r w:rsidRPr="00916314">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637" w:type="dxa"/>
            <w:vAlign w:val="center"/>
          </w:tcPr>
          <w:p w:rsidR="00916314" w:rsidRPr="00916314" w:rsidRDefault="00916314" w:rsidP="00916314">
            <w:pPr>
              <w:jc w:val="center"/>
            </w:pPr>
            <w:r w:rsidRPr="00916314">
              <w:t>6194,45</w:t>
            </w:r>
          </w:p>
        </w:tc>
      </w:tr>
      <w:tr w:rsidR="00916314" w:rsidRPr="00916314" w:rsidTr="00916314">
        <w:trPr>
          <w:trHeight w:val="60"/>
          <w:jc w:val="center"/>
        </w:trPr>
        <w:tc>
          <w:tcPr>
            <w:tcW w:w="618" w:type="dxa"/>
            <w:shd w:val="clear" w:color="auto" w:fill="auto"/>
            <w:noWrap/>
            <w:vAlign w:val="center"/>
          </w:tcPr>
          <w:p w:rsidR="00916314" w:rsidRPr="00916314" w:rsidRDefault="00916314" w:rsidP="00916314">
            <w:pPr>
              <w:jc w:val="center"/>
            </w:pPr>
            <w:r w:rsidRPr="00916314">
              <w:t>4.</w:t>
            </w:r>
          </w:p>
        </w:tc>
        <w:tc>
          <w:tcPr>
            <w:tcW w:w="6768" w:type="dxa"/>
            <w:shd w:val="clear" w:color="auto" w:fill="auto"/>
            <w:vAlign w:val="center"/>
          </w:tcPr>
          <w:p w:rsidR="00916314" w:rsidRPr="00916314" w:rsidRDefault="00916314" w:rsidP="00916314">
            <w:pPr>
              <w:jc w:val="both"/>
            </w:pPr>
            <w:r w:rsidRPr="00916314">
              <w:t>На отопление или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2637" w:type="dxa"/>
            <w:vAlign w:val="center"/>
          </w:tcPr>
          <w:p w:rsidR="00916314" w:rsidRPr="00916314" w:rsidRDefault="00916314" w:rsidP="00916314">
            <w:pPr>
              <w:jc w:val="center"/>
            </w:pPr>
            <w:r w:rsidRPr="00916314">
              <w:t>6034,85</w:t>
            </w:r>
          </w:p>
        </w:tc>
      </w:tr>
      <w:tr w:rsidR="00916314" w:rsidRPr="00916314" w:rsidTr="006F6291">
        <w:trPr>
          <w:trHeight w:val="1271"/>
          <w:jc w:val="center"/>
        </w:trPr>
        <w:tc>
          <w:tcPr>
            <w:tcW w:w="618" w:type="dxa"/>
            <w:shd w:val="clear" w:color="auto" w:fill="auto"/>
            <w:noWrap/>
            <w:vAlign w:val="center"/>
          </w:tcPr>
          <w:p w:rsidR="00916314" w:rsidRPr="00916314" w:rsidRDefault="00916314" w:rsidP="00916314">
            <w:pPr>
              <w:jc w:val="center"/>
            </w:pPr>
            <w:r w:rsidRPr="00916314">
              <w:t>5.</w:t>
            </w:r>
          </w:p>
        </w:tc>
        <w:tc>
          <w:tcPr>
            <w:tcW w:w="6768" w:type="dxa"/>
            <w:shd w:val="clear" w:color="auto" w:fill="auto"/>
            <w:vAlign w:val="center"/>
          </w:tcPr>
          <w:p w:rsidR="00916314" w:rsidRPr="00916314" w:rsidRDefault="00916314" w:rsidP="00916314">
            <w:pPr>
              <w:jc w:val="both"/>
            </w:pPr>
            <w:r w:rsidRPr="00916314">
              <w:t>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2637" w:type="dxa"/>
            <w:vAlign w:val="center"/>
          </w:tcPr>
          <w:p w:rsidR="00916314" w:rsidRPr="00916314" w:rsidRDefault="00916314" w:rsidP="00916314">
            <w:pPr>
              <w:jc w:val="center"/>
            </w:pPr>
            <w:r w:rsidRPr="00916314">
              <w:t>6034,85</w:t>
            </w:r>
          </w:p>
        </w:tc>
      </w:tr>
    </w:tbl>
    <w:p w:rsidR="00916314" w:rsidRPr="00916314" w:rsidRDefault="00916314" w:rsidP="00916314">
      <w:pPr>
        <w:autoSpaceDE w:val="0"/>
        <w:autoSpaceDN w:val="0"/>
        <w:adjustRightInd w:val="0"/>
        <w:rPr>
          <w:sz w:val="22"/>
          <w:szCs w:val="22"/>
        </w:rPr>
      </w:pPr>
    </w:p>
    <w:p w:rsidR="00916314" w:rsidRPr="00916314" w:rsidRDefault="00916314" w:rsidP="00916314">
      <w:pPr>
        <w:autoSpaceDE w:val="0"/>
        <w:autoSpaceDN w:val="0"/>
        <w:adjustRightInd w:val="0"/>
        <w:ind w:firstLine="708"/>
        <w:jc w:val="both"/>
      </w:pPr>
      <w:r w:rsidRPr="00916314">
        <w:lastRenderedPageBreak/>
        <w:t xml:space="preserve">Примечания: </w:t>
      </w:r>
    </w:p>
    <w:p w:rsidR="00916314" w:rsidRPr="00916314" w:rsidRDefault="00916314" w:rsidP="00916314">
      <w:pPr>
        <w:numPr>
          <w:ilvl w:val="0"/>
          <w:numId w:val="5"/>
        </w:numPr>
        <w:autoSpaceDE w:val="0"/>
        <w:autoSpaceDN w:val="0"/>
        <w:adjustRightInd w:val="0"/>
        <w:ind w:left="0" w:firstLine="708"/>
        <w:jc w:val="both"/>
      </w:pPr>
      <w:r w:rsidRPr="00916314">
        <w:t>При поставке природного газа для крышных котельных многоквартирных домов, использующих газ для отопления дома и подогрева горячей воды, применяются розничные цены на природный газ в соответствии с пунктом 5 Приложения к настоящему приказу;</w:t>
      </w:r>
    </w:p>
    <w:p w:rsidR="00916314" w:rsidRPr="00916314" w:rsidRDefault="00916314" w:rsidP="00916314">
      <w:pPr>
        <w:numPr>
          <w:ilvl w:val="0"/>
          <w:numId w:val="5"/>
        </w:numPr>
        <w:autoSpaceDE w:val="0"/>
        <w:autoSpaceDN w:val="0"/>
        <w:adjustRightInd w:val="0"/>
        <w:ind w:left="0" w:firstLine="708"/>
        <w:jc w:val="both"/>
      </w:pPr>
      <w:r w:rsidRPr="00916314">
        <w:t>Розничные цены на природный газ для населения указаны с учетом налога на добавленную стоимость.</w:t>
      </w:r>
    </w:p>
    <w:p w:rsidR="00916314" w:rsidRPr="00916314" w:rsidRDefault="00916314" w:rsidP="00916314">
      <w:pPr>
        <w:jc w:val="center"/>
        <w:rPr>
          <w:bCs/>
        </w:rPr>
      </w:pPr>
    </w:p>
    <w:p w:rsidR="00916314" w:rsidRPr="00916314" w:rsidRDefault="00916314" w:rsidP="00916314">
      <w:pPr>
        <w:ind w:right="-144" w:firstLine="567"/>
        <w:jc w:val="center"/>
        <w:rPr>
          <w:b/>
          <w:sz w:val="24"/>
          <w:szCs w:val="24"/>
        </w:rPr>
      </w:pPr>
      <w:r w:rsidRPr="00916314">
        <w:rPr>
          <w:b/>
          <w:sz w:val="24"/>
          <w:szCs w:val="24"/>
        </w:rPr>
        <w:t>Результаты голосования: за – 4 человек, против – нет, воздержались – нет.</w:t>
      </w:r>
    </w:p>
    <w:p w:rsidR="00D3433B" w:rsidRPr="00D3433B" w:rsidRDefault="00D3433B" w:rsidP="00D3433B">
      <w:pPr>
        <w:jc w:val="center"/>
        <w:rPr>
          <w:bCs/>
        </w:rPr>
      </w:pPr>
    </w:p>
    <w:p w:rsidR="007057F1" w:rsidRDefault="007057F1" w:rsidP="007057F1">
      <w:pPr>
        <w:ind w:right="-144" w:firstLine="567"/>
        <w:jc w:val="both"/>
        <w:rPr>
          <w:sz w:val="24"/>
          <w:szCs w:val="24"/>
        </w:rPr>
      </w:pPr>
    </w:p>
    <w:p w:rsidR="00D3433B" w:rsidRPr="00D3433B" w:rsidRDefault="00D3433B" w:rsidP="00D3433B">
      <w:pPr>
        <w:ind w:firstLine="708"/>
        <w:jc w:val="both"/>
        <w:rPr>
          <w:sz w:val="24"/>
          <w:szCs w:val="24"/>
        </w:rPr>
      </w:pPr>
      <w:r>
        <w:rPr>
          <w:b/>
          <w:sz w:val="24"/>
          <w:szCs w:val="24"/>
        </w:rPr>
        <w:t xml:space="preserve">2. </w:t>
      </w:r>
      <w:proofErr w:type="gramStart"/>
      <w:r w:rsidRPr="00D3433B">
        <w:rPr>
          <w:b/>
          <w:sz w:val="24"/>
          <w:szCs w:val="24"/>
        </w:rPr>
        <w:t xml:space="preserve">По вопросу повестки «Об установлении платы за подключение (технологическое присоединение) к системе теплоснабжения акционерного общества «Газпром </w:t>
      </w:r>
      <w:proofErr w:type="spellStart"/>
      <w:r w:rsidRPr="00D3433B">
        <w:rPr>
          <w:b/>
          <w:sz w:val="24"/>
          <w:szCs w:val="24"/>
        </w:rPr>
        <w:t>теплоэнерго</w:t>
      </w:r>
      <w:proofErr w:type="spellEnd"/>
      <w:r w:rsidRPr="00D3433B">
        <w:rPr>
          <w:b/>
          <w:sz w:val="24"/>
          <w:szCs w:val="24"/>
        </w:rPr>
        <w:t>» (филиал в Ленинградской области)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«Тихвинское городское поселение» Тихвинского муниципального района Ленинградской области, на 2017</w:t>
      </w:r>
      <w:proofErr w:type="gramEnd"/>
      <w:r w:rsidRPr="00D3433B">
        <w:rPr>
          <w:b/>
          <w:sz w:val="24"/>
          <w:szCs w:val="24"/>
        </w:rPr>
        <w:t xml:space="preserve"> </w:t>
      </w:r>
      <w:proofErr w:type="gramStart"/>
      <w:r w:rsidRPr="00D3433B">
        <w:rPr>
          <w:b/>
          <w:sz w:val="24"/>
          <w:szCs w:val="24"/>
        </w:rPr>
        <w:t xml:space="preserve">год» </w:t>
      </w:r>
      <w:r w:rsidRPr="00D3433B">
        <w:rPr>
          <w:bCs/>
          <w:sz w:val="24"/>
          <w:szCs w:val="24"/>
        </w:rPr>
        <w:t>выступил</w:t>
      </w:r>
      <w:r w:rsidRPr="00D3433B">
        <w:rPr>
          <w:b/>
          <w:sz w:val="24"/>
          <w:szCs w:val="24"/>
        </w:rPr>
        <w:t xml:space="preserve"> </w:t>
      </w:r>
      <w:r w:rsidRPr="00D3433B">
        <w:rPr>
          <w:sz w:val="24"/>
          <w:szCs w:val="24"/>
        </w:rPr>
        <w:t>главный специалист отдела технологической экспертизы</w:t>
      </w:r>
      <w:r w:rsidRPr="00D3433B">
        <w:rPr>
          <w:b/>
          <w:sz w:val="24"/>
          <w:szCs w:val="24"/>
        </w:rPr>
        <w:t xml:space="preserve"> </w:t>
      </w:r>
      <w:r w:rsidRPr="00D3433B">
        <w:rPr>
          <w:bCs/>
          <w:color w:val="000000"/>
          <w:sz w:val="24"/>
          <w:szCs w:val="24"/>
        </w:rPr>
        <w:t xml:space="preserve">комитета по тарифам </w:t>
      </w:r>
      <w:r w:rsidRPr="00D3433B">
        <w:rPr>
          <w:bCs/>
          <w:sz w:val="24"/>
          <w:szCs w:val="24"/>
        </w:rPr>
        <w:t>и ценовой политике</w:t>
      </w:r>
      <w:r w:rsidRPr="00D3433B">
        <w:rPr>
          <w:bCs/>
          <w:color w:val="000000"/>
          <w:sz w:val="24"/>
          <w:szCs w:val="24"/>
        </w:rPr>
        <w:t xml:space="preserve"> Ленинградской области Ширяев Д.В.</w:t>
      </w:r>
      <w:r w:rsidRPr="00D3433B">
        <w:rPr>
          <w:sz w:val="24"/>
          <w:szCs w:val="24"/>
        </w:rPr>
        <w:t xml:space="preserve">, изложив основные положения заключения по экономическому обоснованию размера платы за подключение (технологическое присоединение) к системе теплоснабжения акционерного общества «Газпром </w:t>
      </w:r>
      <w:proofErr w:type="spellStart"/>
      <w:r w:rsidRPr="00D3433B">
        <w:rPr>
          <w:sz w:val="24"/>
          <w:szCs w:val="24"/>
        </w:rPr>
        <w:t>теплоэнерго</w:t>
      </w:r>
      <w:proofErr w:type="spellEnd"/>
      <w:r w:rsidRPr="00D3433B">
        <w:rPr>
          <w:sz w:val="24"/>
          <w:szCs w:val="24"/>
        </w:rPr>
        <w:t>» (филиал в Ленинградской области) объектов заявителей, подключаемая тепловая нагрузка которых  более 0,1 Гкал/ч и не превышает 1,5 Гкал/ч, в расчете</w:t>
      </w:r>
      <w:proofErr w:type="gramEnd"/>
      <w:r w:rsidRPr="00D3433B">
        <w:rPr>
          <w:sz w:val="24"/>
          <w:szCs w:val="24"/>
        </w:rPr>
        <w:t xml:space="preserve"> </w:t>
      </w:r>
      <w:proofErr w:type="gramStart"/>
      <w:r w:rsidRPr="00D3433B">
        <w:rPr>
          <w:sz w:val="24"/>
          <w:szCs w:val="24"/>
        </w:rPr>
        <w:t xml:space="preserve">на единицу мощности подключаемой  тепловой нагрузки, расположенных на территории муниципального образования «Тихвинское городское поселение» Тихвинского муниципального района Ленинградской области, на 2017 год, в соответствии с заявлением акционерного общества «Газпром </w:t>
      </w:r>
      <w:proofErr w:type="spellStart"/>
      <w:r w:rsidRPr="00D3433B">
        <w:rPr>
          <w:sz w:val="24"/>
          <w:szCs w:val="24"/>
        </w:rPr>
        <w:t>теплоэнерго</w:t>
      </w:r>
      <w:proofErr w:type="spellEnd"/>
      <w:r w:rsidRPr="00D3433B">
        <w:rPr>
          <w:sz w:val="24"/>
          <w:szCs w:val="24"/>
        </w:rPr>
        <w:t>» от 06.03.2017 исх. № СПБ/1393-03-17 (</w:t>
      </w:r>
      <w:proofErr w:type="spellStart"/>
      <w:r w:rsidRPr="00D3433B">
        <w:rPr>
          <w:sz w:val="24"/>
          <w:szCs w:val="24"/>
        </w:rPr>
        <w:t>вх</w:t>
      </w:r>
      <w:proofErr w:type="spellEnd"/>
      <w:r w:rsidRPr="00D3433B">
        <w:rPr>
          <w:sz w:val="24"/>
          <w:szCs w:val="24"/>
        </w:rPr>
        <w:t>.</w:t>
      </w:r>
      <w:proofErr w:type="gramEnd"/>
      <w:r w:rsidRPr="00D3433B">
        <w:rPr>
          <w:sz w:val="24"/>
          <w:szCs w:val="24"/>
        </w:rPr>
        <w:t xml:space="preserve"> № </w:t>
      </w:r>
      <w:proofErr w:type="gramStart"/>
      <w:r w:rsidRPr="00D3433B">
        <w:rPr>
          <w:sz w:val="24"/>
          <w:szCs w:val="24"/>
        </w:rPr>
        <w:t>КТ-1-1194/17-0-0 от 06.03.2017)</w:t>
      </w:r>
      <w:proofErr w:type="gramEnd"/>
    </w:p>
    <w:p w:rsidR="00D3433B" w:rsidRPr="00D3433B" w:rsidRDefault="00D3433B" w:rsidP="00D3433B">
      <w:pPr>
        <w:ind w:firstLine="567"/>
        <w:jc w:val="both"/>
        <w:rPr>
          <w:sz w:val="24"/>
          <w:szCs w:val="24"/>
        </w:rPr>
      </w:pPr>
      <w:proofErr w:type="gramStart"/>
      <w:r w:rsidRPr="00D3433B">
        <w:rPr>
          <w:sz w:val="24"/>
          <w:szCs w:val="24"/>
        </w:rPr>
        <w:t xml:space="preserve">Акционерным обществом «Газпром </w:t>
      </w:r>
      <w:proofErr w:type="spellStart"/>
      <w:r w:rsidRPr="00D3433B">
        <w:rPr>
          <w:sz w:val="24"/>
          <w:szCs w:val="24"/>
        </w:rPr>
        <w:t>теплоэнерго</w:t>
      </w:r>
      <w:proofErr w:type="spellEnd"/>
      <w:r w:rsidRPr="00D3433B">
        <w:rPr>
          <w:bCs/>
          <w:sz w:val="24"/>
          <w:szCs w:val="24"/>
        </w:rPr>
        <w:t xml:space="preserve">» </w:t>
      </w:r>
      <w:r w:rsidRPr="00D3433B">
        <w:rPr>
          <w:sz w:val="24"/>
          <w:szCs w:val="24"/>
        </w:rPr>
        <w:t>представлено письмо о согласии с предложенным ЛенРТК уровнем платы и с просьбой рассмотреть вопрос без участия представителей организации (</w:t>
      </w:r>
      <w:proofErr w:type="spellStart"/>
      <w:r w:rsidRPr="00D3433B">
        <w:rPr>
          <w:sz w:val="24"/>
          <w:szCs w:val="24"/>
        </w:rPr>
        <w:t>вх</w:t>
      </w:r>
      <w:proofErr w:type="spellEnd"/>
      <w:r w:rsidRPr="00D3433B">
        <w:rPr>
          <w:sz w:val="24"/>
          <w:szCs w:val="24"/>
        </w:rPr>
        <w:t>.</w:t>
      </w:r>
      <w:proofErr w:type="gramEnd"/>
      <w:r w:rsidRPr="00D3433B">
        <w:rPr>
          <w:sz w:val="24"/>
          <w:szCs w:val="24"/>
        </w:rPr>
        <w:t xml:space="preserve"> № </w:t>
      </w:r>
      <w:proofErr w:type="gramStart"/>
      <w:r w:rsidRPr="00D3433B">
        <w:rPr>
          <w:sz w:val="24"/>
          <w:szCs w:val="24"/>
        </w:rPr>
        <w:t>КТ-1-3116/17-0-0 от 24.05.2017).</w:t>
      </w:r>
      <w:proofErr w:type="gramEnd"/>
    </w:p>
    <w:p w:rsidR="00D3433B" w:rsidRPr="00D3433B" w:rsidRDefault="00D3433B" w:rsidP="00D3433B">
      <w:pPr>
        <w:jc w:val="both"/>
        <w:rPr>
          <w:b/>
          <w:snapToGrid w:val="0"/>
          <w:sz w:val="24"/>
          <w:szCs w:val="24"/>
        </w:rPr>
      </w:pPr>
    </w:p>
    <w:p w:rsidR="00D3433B" w:rsidRPr="00D3433B" w:rsidRDefault="00D3433B" w:rsidP="00D3433B">
      <w:pPr>
        <w:ind w:firstLine="567"/>
        <w:jc w:val="both"/>
        <w:rPr>
          <w:b/>
          <w:snapToGrid w:val="0"/>
          <w:sz w:val="24"/>
          <w:szCs w:val="24"/>
        </w:rPr>
      </w:pPr>
      <w:r w:rsidRPr="00D3433B">
        <w:rPr>
          <w:b/>
          <w:snapToGrid w:val="0"/>
          <w:sz w:val="24"/>
          <w:szCs w:val="24"/>
        </w:rPr>
        <w:t>Правление приняло решение:</w:t>
      </w:r>
    </w:p>
    <w:p w:rsidR="00D3433B" w:rsidRPr="00D3433B" w:rsidRDefault="00D3433B" w:rsidP="00D3433B">
      <w:pPr>
        <w:ind w:firstLine="567"/>
        <w:jc w:val="both"/>
        <w:rPr>
          <w:b/>
          <w:snapToGrid w:val="0"/>
          <w:sz w:val="24"/>
          <w:szCs w:val="24"/>
        </w:rPr>
      </w:pPr>
    </w:p>
    <w:p w:rsidR="00D3433B" w:rsidRPr="00D3433B" w:rsidRDefault="00D3433B" w:rsidP="00D3433B">
      <w:pPr>
        <w:widowControl w:val="0"/>
        <w:autoSpaceDE w:val="0"/>
        <w:autoSpaceDN w:val="0"/>
        <w:adjustRightInd w:val="0"/>
        <w:ind w:firstLine="567"/>
        <w:jc w:val="both"/>
        <w:rPr>
          <w:rFonts w:eastAsia="Calibri"/>
          <w:sz w:val="24"/>
          <w:szCs w:val="24"/>
          <w:lang w:eastAsia="en-US"/>
        </w:rPr>
      </w:pPr>
      <w:r w:rsidRPr="00D3433B">
        <w:rPr>
          <w:rFonts w:eastAsia="Calibri"/>
          <w:sz w:val="24"/>
          <w:szCs w:val="24"/>
          <w:lang w:eastAsia="en-US"/>
        </w:rPr>
        <w:t xml:space="preserve">1. </w:t>
      </w:r>
      <w:proofErr w:type="gramStart"/>
      <w:r w:rsidRPr="00D3433B">
        <w:rPr>
          <w:rFonts w:eastAsia="Calibri"/>
          <w:sz w:val="24"/>
          <w:szCs w:val="24"/>
          <w:lang w:eastAsia="en-US"/>
        </w:rPr>
        <w:t>Установить плату за подключение</w:t>
      </w:r>
      <w:r w:rsidRPr="00D3433B">
        <w:rPr>
          <w:rFonts w:eastAsia="Calibri"/>
          <w:bCs/>
          <w:sz w:val="24"/>
          <w:szCs w:val="24"/>
          <w:lang w:eastAsia="en-US"/>
        </w:rPr>
        <w:t xml:space="preserve"> (технологическое присоединение) к системе теплоснабжения акционерного общества «Газпром </w:t>
      </w:r>
      <w:proofErr w:type="spellStart"/>
      <w:r w:rsidRPr="00D3433B">
        <w:rPr>
          <w:rFonts w:eastAsia="Calibri"/>
          <w:bCs/>
          <w:sz w:val="24"/>
          <w:szCs w:val="24"/>
          <w:lang w:eastAsia="en-US"/>
        </w:rPr>
        <w:t>теплоэнерго</w:t>
      </w:r>
      <w:proofErr w:type="spellEnd"/>
      <w:r w:rsidRPr="00D3433B">
        <w:rPr>
          <w:rFonts w:eastAsia="Calibri"/>
          <w:bCs/>
          <w:sz w:val="24"/>
          <w:szCs w:val="24"/>
          <w:lang w:eastAsia="en-US"/>
        </w:rPr>
        <w:t>» (филиал в Ленинградской области)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«Тихвинское городское поселение» Тихвинского муниципального района</w:t>
      </w:r>
      <w:r w:rsidRPr="00D3433B">
        <w:rPr>
          <w:rFonts w:eastAsia="Calibri"/>
          <w:b/>
          <w:bCs/>
          <w:sz w:val="24"/>
          <w:szCs w:val="24"/>
          <w:lang w:eastAsia="en-US"/>
        </w:rPr>
        <w:t xml:space="preserve"> </w:t>
      </w:r>
      <w:r w:rsidRPr="00D3433B">
        <w:rPr>
          <w:rFonts w:eastAsia="Calibri"/>
          <w:bCs/>
          <w:sz w:val="24"/>
          <w:szCs w:val="24"/>
          <w:lang w:eastAsia="en-US"/>
        </w:rPr>
        <w:t>Ленинградской области, на 2017 год</w:t>
      </w:r>
      <w:r w:rsidRPr="00D3433B">
        <w:rPr>
          <w:rFonts w:eastAsia="Calibri"/>
          <w:sz w:val="24"/>
          <w:szCs w:val="24"/>
          <w:lang w:eastAsia="en-US"/>
        </w:rPr>
        <w:t>.</w:t>
      </w:r>
      <w:proofErr w:type="gramEnd"/>
    </w:p>
    <w:p w:rsidR="00D3433B" w:rsidRPr="00D3433B" w:rsidRDefault="00D3433B" w:rsidP="00D3433B">
      <w:pPr>
        <w:widowControl w:val="0"/>
        <w:autoSpaceDE w:val="0"/>
        <w:autoSpaceDN w:val="0"/>
        <w:adjustRightInd w:val="0"/>
        <w:ind w:firstLine="567"/>
        <w:jc w:val="both"/>
        <w:rPr>
          <w:rFonts w:eastAsia="Calibri"/>
          <w:sz w:val="24"/>
          <w:szCs w:val="24"/>
          <w:lang w:eastAsia="en-US"/>
        </w:rPr>
      </w:pPr>
      <w:r w:rsidRPr="00D3433B">
        <w:rPr>
          <w:rFonts w:eastAsia="Calibri"/>
          <w:sz w:val="24"/>
          <w:szCs w:val="24"/>
          <w:lang w:eastAsia="en-US"/>
        </w:rPr>
        <w:t>2. Плата за подключение (технологическое присоединение) установленная в пункте 1, вступает в силу в установленном порядке и действует по 31 декабря 2017 года.</w:t>
      </w:r>
    </w:p>
    <w:p w:rsidR="00D3433B" w:rsidRDefault="00D3433B" w:rsidP="00D3433B">
      <w:pPr>
        <w:spacing w:line="0" w:lineRule="atLeast"/>
        <w:ind w:right="-1"/>
        <w:jc w:val="center"/>
        <w:rPr>
          <w:rFonts w:eastAsia="Calibri"/>
          <w:b/>
          <w:sz w:val="24"/>
          <w:szCs w:val="24"/>
          <w:lang w:eastAsia="en-US"/>
        </w:rPr>
      </w:pPr>
    </w:p>
    <w:p w:rsidR="00D3433B" w:rsidRDefault="00D3433B" w:rsidP="00D3433B">
      <w:pPr>
        <w:spacing w:line="0" w:lineRule="atLeast"/>
        <w:ind w:right="-1"/>
        <w:jc w:val="center"/>
        <w:rPr>
          <w:rFonts w:eastAsia="Calibri"/>
          <w:b/>
          <w:bCs/>
          <w:sz w:val="24"/>
          <w:szCs w:val="24"/>
          <w:lang w:eastAsia="en-US"/>
        </w:rPr>
      </w:pPr>
      <w:proofErr w:type="gramStart"/>
      <w:r w:rsidRPr="00D3433B">
        <w:rPr>
          <w:rFonts w:eastAsia="Calibri"/>
          <w:b/>
          <w:sz w:val="24"/>
          <w:szCs w:val="24"/>
          <w:lang w:eastAsia="en-US"/>
        </w:rPr>
        <w:t>Плата за подключение</w:t>
      </w:r>
      <w:r w:rsidRPr="00D3433B">
        <w:rPr>
          <w:rFonts w:eastAsia="Calibri"/>
          <w:b/>
          <w:bCs/>
          <w:sz w:val="24"/>
          <w:szCs w:val="24"/>
          <w:lang w:eastAsia="en-US"/>
        </w:rPr>
        <w:t xml:space="preserve"> (технологическое присоединение) к системе теплоснабжения акционерного общества «Газпром </w:t>
      </w:r>
      <w:proofErr w:type="spellStart"/>
      <w:r w:rsidRPr="00D3433B">
        <w:rPr>
          <w:rFonts w:eastAsia="Calibri"/>
          <w:b/>
          <w:bCs/>
          <w:sz w:val="24"/>
          <w:szCs w:val="24"/>
          <w:lang w:eastAsia="en-US"/>
        </w:rPr>
        <w:t>теплоэнерго</w:t>
      </w:r>
      <w:proofErr w:type="spellEnd"/>
      <w:r w:rsidRPr="00D3433B">
        <w:rPr>
          <w:rFonts w:eastAsia="Calibri"/>
          <w:b/>
          <w:bCs/>
          <w:sz w:val="24"/>
          <w:szCs w:val="24"/>
          <w:lang w:eastAsia="en-US"/>
        </w:rPr>
        <w:t>» (филиал в Ленинградской области)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«Тихвинское городское поселение» Тихвинского муниципального района Ленинградской области, на 2017 год</w:t>
      </w:r>
      <w:proofErr w:type="gramEnd"/>
    </w:p>
    <w:p w:rsidR="00916314" w:rsidRDefault="00916314" w:rsidP="00D3433B">
      <w:pPr>
        <w:spacing w:line="0" w:lineRule="atLeast"/>
        <w:ind w:right="-1"/>
        <w:jc w:val="center"/>
        <w:rPr>
          <w:rFonts w:eastAsia="Calibri"/>
          <w:b/>
          <w:bCs/>
          <w:sz w:val="24"/>
          <w:szCs w:val="24"/>
          <w:lang w:eastAsia="en-US"/>
        </w:rPr>
      </w:pPr>
    </w:p>
    <w:p w:rsidR="00916314" w:rsidRDefault="00916314" w:rsidP="00D3433B">
      <w:pPr>
        <w:spacing w:line="0" w:lineRule="atLeast"/>
        <w:ind w:right="-1"/>
        <w:jc w:val="center"/>
        <w:rPr>
          <w:rFonts w:eastAsia="Calibri"/>
          <w:b/>
          <w:bCs/>
          <w:sz w:val="24"/>
          <w:szCs w:val="24"/>
          <w:lang w:eastAsia="en-US"/>
        </w:rPr>
      </w:pPr>
    </w:p>
    <w:p w:rsidR="00916314" w:rsidRDefault="00916314" w:rsidP="00D3433B">
      <w:pPr>
        <w:spacing w:line="0" w:lineRule="atLeast"/>
        <w:ind w:right="-1"/>
        <w:jc w:val="center"/>
        <w:rPr>
          <w:rFonts w:eastAsia="Calibri"/>
          <w:b/>
          <w:bCs/>
          <w:sz w:val="24"/>
          <w:szCs w:val="24"/>
          <w:lang w:eastAsia="en-US"/>
        </w:rPr>
      </w:pPr>
    </w:p>
    <w:p w:rsidR="00916314" w:rsidRDefault="00916314" w:rsidP="00D3433B">
      <w:pPr>
        <w:spacing w:line="0" w:lineRule="atLeast"/>
        <w:ind w:right="-1"/>
        <w:jc w:val="center"/>
        <w:rPr>
          <w:rFonts w:eastAsia="Calibri"/>
          <w:b/>
          <w:bCs/>
          <w:sz w:val="24"/>
          <w:szCs w:val="24"/>
          <w:lang w:eastAsia="en-US"/>
        </w:rPr>
      </w:pPr>
    </w:p>
    <w:p w:rsidR="00916314" w:rsidRDefault="00916314" w:rsidP="00D3433B">
      <w:pPr>
        <w:spacing w:line="0" w:lineRule="atLeast"/>
        <w:ind w:right="-1"/>
        <w:jc w:val="center"/>
        <w:rPr>
          <w:rFonts w:eastAsia="Calibri"/>
          <w:b/>
          <w:bCs/>
          <w:sz w:val="24"/>
          <w:szCs w:val="24"/>
          <w:lang w:eastAsia="en-US"/>
        </w:rPr>
      </w:pPr>
    </w:p>
    <w:p w:rsidR="00916314" w:rsidRPr="00D3433B" w:rsidRDefault="00916314" w:rsidP="00D3433B">
      <w:pPr>
        <w:spacing w:line="0" w:lineRule="atLeast"/>
        <w:ind w:right="-1"/>
        <w:jc w:val="center"/>
        <w:rPr>
          <w:rFonts w:eastAsia="Calibri"/>
          <w:b/>
          <w:bCs/>
          <w:sz w:val="24"/>
          <w:szCs w:val="24"/>
          <w:lang w:eastAsia="en-US"/>
        </w:rPr>
      </w:pPr>
    </w:p>
    <w:tbl>
      <w:tblPr>
        <w:tblW w:w="9962" w:type="dxa"/>
        <w:tblInd w:w="108" w:type="dxa"/>
        <w:tblLook w:val="04A0" w:firstRow="1" w:lastRow="0" w:firstColumn="1" w:lastColumn="0" w:noHBand="0" w:noVBand="1"/>
      </w:tblPr>
      <w:tblGrid>
        <w:gridCol w:w="766"/>
        <w:gridCol w:w="7739"/>
        <w:gridCol w:w="1457"/>
      </w:tblGrid>
      <w:tr w:rsidR="00D3433B" w:rsidRPr="00D3433B" w:rsidTr="00916314">
        <w:trPr>
          <w:trHeight w:val="60"/>
        </w:trPr>
        <w:tc>
          <w:tcPr>
            <w:tcW w:w="766" w:type="dxa"/>
            <w:tcBorders>
              <w:top w:val="single" w:sz="4" w:space="0" w:color="auto"/>
              <w:left w:val="single" w:sz="4" w:space="0" w:color="auto"/>
              <w:bottom w:val="single" w:sz="4" w:space="0" w:color="auto"/>
              <w:right w:val="single" w:sz="4" w:space="0" w:color="auto"/>
            </w:tcBorders>
            <w:vAlign w:val="center"/>
            <w:hideMark/>
          </w:tcPr>
          <w:p w:rsidR="00D3433B" w:rsidRPr="00D3433B" w:rsidRDefault="00D3433B" w:rsidP="00D3433B">
            <w:pPr>
              <w:jc w:val="center"/>
              <w:rPr>
                <w:bCs/>
                <w:color w:val="000000"/>
              </w:rPr>
            </w:pPr>
            <w:r w:rsidRPr="00D3433B">
              <w:lastRenderedPageBreak/>
              <w:t xml:space="preserve">  </w:t>
            </w:r>
            <w:r w:rsidRPr="00D3433B">
              <w:rPr>
                <w:bCs/>
                <w:color w:val="000000"/>
              </w:rPr>
              <w:t xml:space="preserve">№            </w:t>
            </w:r>
            <w:proofErr w:type="gramStart"/>
            <w:r w:rsidRPr="00D3433B">
              <w:rPr>
                <w:bCs/>
                <w:color w:val="000000"/>
              </w:rPr>
              <w:t>п</w:t>
            </w:r>
            <w:proofErr w:type="gramEnd"/>
            <w:r w:rsidRPr="00D3433B">
              <w:rPr>
                <w:bCs/>
                <w:color w:val="000000"/>
              </w:rPr>
              <w:t>/п</w:t>
            </w:r>
          </w:p>
        </w:tc>
        <w:tc>
          <w:tcPr>
            <w:tcW w:w="7739" w:type="dxa"/>
            <w:tcBorders>
              <w:top w:val="single" w:sz="4" w:space="0" w:color="auto"/>
              <w:left w:val="nil"/>
              <w:bottom w:val="single" w:sz="4" w:space="0" w:color="auto"/>
              <w:right w:val="single" w:sz="4" w:space="0" w:color="auto"/>
            </w:tcBorders>
            <w:vAlign w:val="center"/>
            <w:hideMark/>
          </w:tcPr>
          <w:p w:rsidR="00D3433B" w:rsidRPr="00D3433B" w:rsidRDefault="00D3433B" w:rsidP="00D3433B">
            <w:pPr>
              <w:jc w:val="center"/>
              <w:rPr>
                <w:bCs/>
                <w:color w:val="000000"/>
              </w:rPr>
            </w:pPr>
            <w:r w:rsidRPr="00D3433B">
              <w:rPr>
                <w:bCs/>
                <w:color w:val="000000"/>
              </w:rPr>
              <w:t xml:space="preserve">Наименование  </w:t>
            </w:r>
          </w:p>
        </w:tc>
        <w:tc>
          <w:tcPr>
            <w:tcW w:w="1457" w:type="dxa"/>
            <w:tcBorders>
              <w:top w:val="single" w:sz="4" w:space="0" w:color="auto"/>
              <w:left w:val="nil"/>
              <w:bottom w:val="single" w:sz="4" w:space="0" w:color="auto"/>
              <w:right w:val="single" w:sz="4" w:space="0" w:color="auto"/>
            </w:tcBorders>
            <w:vAlign w:val="center"/>
            <w:hideMark/>
          </w:tcPr>
          <w:p w:rsidR="00D3433B" w:rsidRPr="00D3433B" w:rsidRDefault="00D3433B" w:rsidP="00D3433B">
            <w:pPr>
              <w:jc w:val="center"/>
              <w:rPr>
                <w:bCs/>
                <w:color w:val="000000"/>
              </w:rPr>
            </w:pPr>
            <w:r w:rsidRPr="00D3433B">
              <w:rPr>
                <w:bCs/>
                <w:color w:val="000000"/>
              </w:rPr>
              <w:t>Значение*, руб./Гкал/</w:t>
            </w:r>
            <w:proofErr w:type="gramStart"/>
            <w:r w:rsidRPr="00D3433B">
              <w:rPr>
                <w:bCs/>
                <w:color w:val="000000"/>
              </w:rPr>
              <w:t>ч</w:t>
            </w:r>
            <w:proofErr w:type="gramEnd"/>
          </w:p>
        </w:tc>
      </w:tr>
      <w:tr w:rsidR="00D3433B" w:rsidRPr="00D3433B" w:rsidTr="00D3433B">
        <w:trPr>
          <w:trHeight w:val="259"/>
        </w:trPr>
        <w:tc>
          <w:tcPr>
            <w:tcW w:w="766" w:type="dxa"/>
            <w:tcBorders>
              <w:top w:val="nil"/>
              <w:left w:val="single" w:sz="4" w:space="0" w:color="auto"/>
              <w:bottom w:val="single" w:sz="4" w:space="0" w:color="auto"/>
              <w:right w:val="single" w:sz="4" w:space="0" w:color="auto"/>
            </w:tcBorders>
            <w:vAlign w:val="center"/>
            <w:hideMark/>
          </w:tcPr>
          <w:p w:rsidR="00D3433B" w:rsidRPr="00D3433B" w:rsidRDefault="00D3433B" w:rsidP="00D3433B">
            <w:pPr>
              <w:jc w:val="center"/>
              <w:rPr>
                <w:color w:val="000000"/>
              </w:rPr>
            </w:pPr>
            <w:r w:rsidRPr="00D3433B">
              <w:rPr>
                <w:color w:val="000000"/>
              </w:rPr>
              <w:t>1</w:t>
            </w:r>
          </w:p>
        </w:tc>
        <w:tc>
          <w:tcPr>
            <w:tcW w:w="7739" w:type="dxa"/>
            <w:tcBorders>
              <w:top w:val="nil"/>
              <w:left w:val="nil"/>
              <w:bottom w:val="single" w:sz="4" w:space="0" w:color="auto"/>
              <w:right w:val="single" w:sz="4" w:space="0" w:color="auto"/>
            </w:tcBorders>
            <w:vAlign w:val="center"/>
            <w:hideMark/>
          </w:tcPr>
          <w:p w:rsidR="00D3433B" w:rsidRPr="00D3433B" w:rsidRDefault="00D3433B" w:rsidP="00D3433B">
            <w:pPr>
              <w:jc w:val="center"/>
              <w:rPr>
                <w:color w:val="000000"/>
              </w:rPr>
            </w:pPr>
            <w:r w:rsidRPr="00D3433B">
              <w:rPr>
                <w:color w:val="000000"/>
              </w:rPr>
              <w:t>2</w:t>
            </w:r>
          </w:p>
        </w:tc>
        <w:tc>
          <w:tcPr>
            <w:tcW w:w="1457" w:type="dxa"/>
            <w:tcBorders>
              <w:top w:val="nil"/>
              <w:left w:val="nil"/>
              <w:bottom w:val="single" w:sz="4" w:space="0" w:color="auto"/>
              <w:right w:val="single" w:sz="4" w:space="0" w:color="auto"/>
            </w:tcBorders>
            <w:vAlign w:val="center"/>
            <w:hideMark/>
          </w:tcPr>
          <w:p w:rsidR="00D3433B" w:rsidRPr="00D3433B" w:rsidRDefault="00D3433B" w:rsidP="00D3433B">
            <w:pPr>
              <w:jc w:val="center"/>
              <w:rPr>
                <w:color w:val="000000"/>
              </w:rPr>
            </w:pPr>
            <w:r w:rsidRPr="00D3433B">
              <w:rPr>
                <w:color w:val="000000"/>
              </w:rPr>
              <w:t>3</w:t>
            </w:r>
          </w:p>
        </w:tc>
      </w:tr>
      <w:tr w:rsidR="00D3433B" w:rsidRPr="00D3433B" w:rsidTr="006F6291">
        <w:trPr>
          <w:trHeight w:val="499"/>
        </w:trPr>
        <w:tc>
          <w:tcPr>
            <w:tcW w:w="996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3433B" w:rsidRPr="00D3433B" w:rsidRDefault="00D3433B" w:rsidP="00D3433B">
            <w:pPr>
              <w:rPr>
                <w:bCs/>
                <w:color w:val="000000"/>
              </w:rPr>
            </w:pPr>
            <w:r w:rsidRPr="00D3433B">
              <w:rPr>
                <w:bCs/>
                <w:color w:val="000000"/>
              </w:rPr>
              <w:t>Плата за подключение объектов заявителей, подключаемая тепловая нагрузка которых более 0,1 Гкал/</w:t>
            </w:r>
            <w:proofErr w:type="gramStart"/>
            <w:r w:rsidRPr="00D3433B">
              <w:rPr>
                <w:bCs/>
                <w:color w:val="000000"/>
              </w:rPr>
              <w:t>ч</w:t>
            </w:r>
            <w:proofErr w:type="gramEnd"/>
            <w:r w:rsidRPr="00D3433B">
              <w:rPr>
                <w:bCs/>
                <w:color w:val="000000"/>
              </w:rPr>
              <w:t xml:space="preserve"> и не превышает 1,5 Гкал/ч, в том числе:</w:t>
            </w:r>
          </w:p>
        </w:tc>
      </w:tr>
      <w:tr w:rsidR="00D3433B" w:rsidRPr="00D3433B" w:rsidTr="00916314">
        <w:trPr>
          <w:trHeight w:val="60"/>
        </w:trPr>
        <w:tc>
          <w:tcPr>
            <w:tcW w:w="766" w:type="dxa"/>
            <w:tcBorders>
              <w:top w:val="nil"/>
              <w:left w:val="single" w:sz="4" w:space="0" w:color="auto"/>
              <w:bottom w:val="single" w:sz="4" w:space="0" w:color="auto"/>
              <w:right w:val="single" w:sz="4" w:space="0" w:color="auto"/>
            </w:tcBorders>
            <w:noWrap/>
            <w:vAlign w:val="center"/>
            <w:hideMark/>
          </w:tcPr>
          <w:p w:rsidR="00D3433B" w:rsidRPr="00D3433B" w:rsidRDefault="00D3433B" w:rsidP="00D3433B">
            <w:pPr>
              <w:jc w:val="center"/>
              <w:rPr>
                <w:bCs/>
                <w:color w:val="000000"/>
              </w:rPr>
            </w:pPr>
            <w:r w:rsidRPr="00D3433B">
              <w:rPr>
                <w:bCs/>
                <w:color w:val="000000"/>
              </w:rPr>
              <w:t>1</w:t>
            </w:r>
          </w:p>
        </w:tc>
        <w:tc>
          <w:tcPr>
            <w:tcW w:w="7739" w:type="dxa"/>
            <w:tcBorders>
              <w:top w:val="nil"/>
              <w:left w:val="nil"/>
              <w:bottom w:val="single" w:sz="4" w:space="0" w:color="auto"/>
              <w:right w:val="single" w:sz="4" w:space="0" w:color="auto"/>
            </w:tcBorders>
            <w:vAlign w:val="center"/>
            <w:hideMark/>
          </w:tcPr>
          <w:p w:rsidR="00D3433B" w:rsidRPr="00D3433B" w:rsidRDefault="00D3433B" w:rsidP="00D3433B">
            <w:pPr>
              <w:rPr>
                <w:bCs/>
                <w:color w:val="000000"/>
              </w:rPr>
            </w:pPr>
            <w:r w:rsidRPr="00D3433B">
              <w:rPr>
                <w:bCs/>
                <w:color w:val="000000"/>
              </w:rPr>
              <w:t>Расходы на проведение мероприятий по подключению объектов заявителей (П</w:t>
            </w:r>
            <w:proofErr w:type="gramStart"/>
            <w:r w:rsidRPr="00D3433B">
              <w:rPr>
                <w:bCs/>
                <w:color w:val="000000"/>
              </w:rPr>
              <w:t>1</w:t>
            </w:r>
            <w:proofErr w:type="gramEnd"/>
            <w:r w:rsidRPr="00D3433B">
              <w:rPr>
                <w:bCs/>
                <w:color w:val="000000"/>
              </w:rPr>
              <w:t>)</w:t>
            </w:r>
          </w:p>
        </w:tc>
        <w:tc>
          <w:tcPr>
            <w:tcW w:w="1457" w:type="dxa"/>
            <w:tcBorders>
              <w:top w:val="nil"/>
              <w:left w:val="nil"/>
              <w:bottom w:val="single" w:sz="4" w:space="0" w:color="auto"/>
              <w:right w:val="single" w:sz="4" w:space="0" w:color="auto"/>
            </w:tcBorders>
            <w:noWrap/>
            <w:vAlign w:val="center"/>
            <w:hideMark/>
          </w:tcPr>
          <w:p w:rsidR="00D3433B" w:rsidRPr="00D3433B" w:rsidRDefault="00D3433B" w:rsidP="00D3433B">
            <w:pPr>
              <w:jc w:val="center"/>
              <w:rPr>
                <w:bCs/>
                <w:color w:val="000000"/>
              </w:rPr>
            </w:pPr>
            <w:r w:rsidRPr="00D3433B">
              <w:rPr>
                <w:bCs/>
                <w:color w:val="000000"/>
              </w:rPr>
              <w:t>80 321,46</w:t>
            </w:r>
          </w:p>
        </w:tc>
      </w:tr>
      <w:tr w:rsidR="00D3433B" w:rsidRPr="00D3433B" w:rsidTr="00D3433B">
        <w:trPr>
          <w:trHeight w:val="920"/>
        </w:trPr>
        <w:tc>
          <w:tcPr>
            <w:tcW w:w="766" w:type="dxa"/>
            <w:tcBorders>
              <w:top w:val="nil"/>
              <w:left w:val="single" w:sz="4" w:space="0" w:color="auto"/>
              <w:bottom w:val="single" w:sz="4" w:space="0" w:color="auto"/>
              <w:right w:val="single" w:sz="4" w:space="0" w:color="auto"/>
            </w:tcBorders>
            <w:noWrap/>
            <w:vAlign w:val="center"/>
            <w:hideMark/>
          </w:tcPr>
          <w:p w:rsidR="00D3433B" w:rsidRPr="00D3433B" w:rsidRDefault="00D3433B" w:rsidP="00D3433B">
            <w:pPr>
              <w:jc w:val="center"/>
              <w:rPr>
                <w:bCs/>
                <w:color w:val="000000"/>
              </w:rPr>
            </w:pPr>
            <w:r w:rsidRPr="00D3433B">
              <w:rPr>
                <w:bCs/>
                <w:color w:val="000000"/>
              </w:rPr>
              <w:t>2</w:t>
            </w:r>
          </w:p>
        </w:tc>
        <w:tc>
          <w:tcPr>
            <w:tcW w:w="7739" w:type="dxa"/>
            <w:tcBorders>
              <w:top w:val="nil"/>
              <w:left w:val="nil"/>
              <w:bottom w:val="single" w:sz="4" w:space="0" w:color="auto"/>
              <w:right w:val="single" w:sz="4" w:space="0" w:color="auto"/>
            </w:tcBorders>
            <w:vAlign w:val="center"/>
            <w:hideMark/>
          </w:tcPr>
          <w:p w:rsidR="00D3433B" w:rsidRPr="00D3433B" w:rsidRDefault="00D3433B" w:rsidP="00D3433B">
            <w:pPr>
              <w:jc w:val="both"/>
              <w:rPr>
                <w:bCs/>
                <w:color w:val="000000"/>
              </w:rPr>
            </w:pPr>
            <w:r w:rsidRPr="00D3433B">
              <w:rPr>
                <w:bCs/>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sidRPr="00D3433B">
              <w:rPr>
                <w:bCs/>
                <w:color w:val="000000"/>
              </w:rPr>
              <w:t>П</w:t>
            </w:r>
            <w:proofErr w:type="gramEnd"/>
            <w:r w:rsidRPr="00D3433B">
              <w:rPr>
                <w:bCs/>
                <w:color w:val="000000"/>
              </w:rPr>
              <w:t xml:space="preserve"> 2.1), в том числе:</w:t>
            </w:r>
          </w:p>
        </w:tc>
        <w:tc>
          <w:tcPr>
            <w:tcW w:w="1457" w:type="dxa"/>
            <w:tcBorders>
              <w:top w:val="nil"/>
              <w:left w:val="nil"/>
              <w:bottom w:val="single" w:sz="4" w:space="0" w:color="auto"/>
              <w:right w:val="single" w:sz="4" w:space="0" w:color="auto"/>
            </w:tcBorders>
            <w:noWrap/>
            <w:vAlign w:val="center"/>
            <w:hideMark/>
          </w:tcPr>
          <w:p w:rsidR="00D3433B" w:rsidRPr="00D3433B" w:rsidRDefault="00D3433B" w:rsidP="00D3433B">
            <w:pPr>
              <w:jc w:val="center"/>
              <w:rPr>
                <w:bCs/>
                <w:color w:val="000000"/>
              </w:rPr>
            </w:pPr>
            <w:r w:rsidRPr="00D3433B">
              <w:rPr>
                <w:bCs/>
                <w:color w:val="000000"/>
              </w:rPr>
              <w:t>13 568 320,69</w:t>
            </w:r>
          </w:p>
        </w:tc>
      </w:tr>
      <w:tr w:rsidR="00D3433B" w:rsidRPr="00D3433B" w:rsidTr="00D3433B">
        <w:trPr>
          <w:trHeight w:val="259"/>
        </w:trPr>
        <w:tc>
          <w:tcPr>
            <w:tcW w:w="766" w:type="dxa"/>
            <w:tcBorders>
              <w:top w:val="nil"/>
              <w:left w:val="single" w:sz="4" w:space="0" w:color="auto"/>
              <w:bottom w:val="single" w:sz="4" w:space="0" w:color="auto"/>
              <w:right w:val="single" w:sz="4" w:space="0" w:color="auto"/>
            </w:tcBorders>
            <w:noWrap/>
            <w:vAlign w:val="center"/>
            <w:hideMark/>
          </w:tcPr>
          <w:p w:rsidR="00D3433B" w:rsidRPr="00D3433B" w:rsidRDefault="00D3433B" w:rsidP="00D3433B">
            <w:pPr>
              <w:jc w:val="center"/>
              <w:rPr>
                <w:color w:val="000000"/>
              </w:rPr>
            </w:pPr>
            <w:r w:rsidRPr="00D3433B">
              <w:rPr>
                <w:color w:val="000000"/>
              </w:rPr>
              <w:t>2.1</w:t>
            </w:r>
          </w:p>
        </w:tc>
        <w:tc>
          <w:tcPr>
            <w:tcW w:w="7739" w:type="dxa"/>
            <w:tcBorders>
              <w:top w:val="nil"/>
              <w:left w:val="nil"/>
              <w:bottom w:val="single" w:sz="4" w:space="0" w:color="auto"/>
              <w:right w:val="single" w:sz="4" w:space="0" w:color="auto"/>
            </w:tcBorders>
            <w:vAlign w:val="center"/>
            <w:hideMark/>
          </w:tcPr>
          <w:p w:rsidR="00D3433B" w:rsidRPr="00D3433B" w:rsidRDefault="00D3433B" w:rsidP="00D3433B">
            <w:pPr>
              <w:rPr>
                <w:color w:val="000000"/>
              </w:rPr>
            </w:pPr>
            <w:r w:rsidRPr="00D3433B">
              <w:rPr>
                <w:color w:val="000000"/>
              </w:rPr>
              <w:t>Надземная (наземная) прокладка</w:t>
            </w:r>
          </w:p>
        </w:tc>
        <w:tc>
          <w:tcPr>
            <w:tcW w:w="1457" w:type="dxa"/>
            <w:tcBorders>
              <w:top w:val="nil"/>
              <w:left w:val="nil"/>
              <w:bottom w:val="single" w:sz="4" w:space="0" w:color="auto"/>
              <w:right w:val="single" w:sz="4" w:space="0" w:color="auto"/>
            </w:tcBorders>
            <w:noWrap/>
            <w:vAlign w:val="center"/>
            <w:hideMark/>
          </w:tcPr>
          <w:p w:rsidR="00D3433B" w:rsidRPr="00D3433B" w:rsidRDefault="00D3433B" w:rsidP="00D3433B">
            <w:pPr>
              <w:jc w:val="center"/>
              <w:rPr>
                <w:color w:val="000000"/>
              </w:rPr>
            </w:pPr>
            <w:r w:rsidRPr="00D3433B">
              <w:rPr>
                <w:color w:val="000000"/>
              </w:rPr>
              <w:t>0,00</w:t>
            </w:r>
          </w:p>
        </w:tc>
      </w:tr>
      <w:tr w:rsidR="00D3433B" w:rsidRPr="00D3433B" w:rsidTr="00D3433B">
        <w:trPr>
          <w:trHeight w:val="60"/>
        </w:trPr>
        <w:tc>
          <w:tcPr>
            <w:tcW w:w="766" w:type="dxa"/>
            <w:tcBorders>
              <w:top w:val="nil"/>
              <w:left w:val="single" w:sz="4" w:space="0" w:color="auto"/>
              <w:bottom w:val="single" w:sz="4" w:space="0" w:color="auto"/>
              <w:right w:val="single" w:sz="4" w:space="0" w:color="auto"/>
            </w:tcBorders>
            <w:noWrap/>
            <w:vAlign w:val="center"/>
            <w:hideMark/>
          </w:tcPr>
          <w:p w:rsidR="00D3433B" w:rsidRPr="00D3433B" w:rsidRDefault="00D3433B" w:rsidP="00D3433B">
            <w:pPr>
              <w:jc w:val="center"/>
              <w:rPr>
                <w:color w:val="000000"/>
              </w:rPr>
            </w:pPr>
            <w:r w:rsidRPr="00D3433B">
              <w:rPr>
                <w:color w:val="000000"/>
              </w:rPr>
              <w:t>2.2</w:t>
            </w:r>
          </w:p>
        </w:tc>
        <w:tc>
          <w:tcPr>
            <w:tcW w:w="7739" w:type="dxa"/>
            <w:tcBorders>
              <w:top w:val="nil"/>
              <w:left w:val="nil"/>
              <w:bottom w:val="single" w:sz="4" w:space="0" w:color="auto"/>
              <w:right w:val="single" w:sz="4" w:space="0" w:color="auto"/>
            </w:tcBorders>
            <w:vAlign w:val="center"/>
            <w:hideMark/>
          </w:tcPr>
          <w:p w:rsidR="00D3433B" w:rsidRPr="00D3433B" w:rsidRDefault="00D3433B" w:rsidP="00D3433B">
            <w:pPr>
              <w:rPr>
                <w:color w:val="000000"/>
              </w:rPr>
            </w:pPr>
            <w:r w:rsidRPr="00D3433B">
              <w:rPr>
                <w:color w:val="000000"/>
              </w:rPr>
              <w:t>Подземная прокладка, в том числе:</w:t>
            </w:r>
          </w:p>
        </w:tc>
        <w:tc>
          <w:tcPr>
            <w:tcW w:w="1457" w:type="dxa"/>
            <w:tcBorders>
              <w:top w:val="nil"/>
              <w:left w:val="nil"/>
              <w:bottom w:val="single" w:sz="4" w:space="0" w:color="auto"/>
              <w:right w:val="single" w:sz="4" w:space="0" w:color="auto"/>
            </w:tcBorders>
            <w:noWrap/>
            <w:vAlign w:val="center"/>
            <w:hideMark/>
          </w:tcPr>
          <w:p w:rsidR="00D3433B" w:rsidRPr="00D3433B" w:rsidRDefault="00D3433B" w:rsidP="00D3433B">
            <w:pPr>
              <w:jc w:val="center"/>
              <w:rPr>
                <w:color w:val="000000"/>
              </w:rPr>
            </w:pPr>
            <w:r w:rsidRPr="00D3433B">
              <w:rPr>
                <w:bCs/>
                <w:color w:val="000000"/>
              </w:rPr>
              <w:t>13 568 320,69</w:t>
            </w:r>
          </w:p>
        </w:tc>
      </w:tr>
      <w:tr w:rsidR="00D3433B" w:rsidRPr="00D3433B" w:rsidTr="00D3433B">
        <w:trPr>
          <w:trHeight w:val="60"/>
        </w:trPr>
        <w:tc>
          <w:tcPr>
            <w:tcW w:w="766" w:type="dxa"/>
            <w:tcBorders>
              <w:top w:val="nil"/>
              <w:left w:val="single" w:sz="4" w:space="0" w:color="auto"/>
              <w:bottom w:val="single" w:sz="4" w:space="0" w:color="auto"/>
              <w:right w:val="single" w:sz="4" w:space="0" w:color="auto"/>
            </w:tcBorders>
            <w:noWrap/>
            <w:vAlign w:val="center"/>
            <w:hideMark/>
          </w:tcPr>
          <w:p w:rsidR="00D3433B" w:rsidRPr="00D3433B" w:rsidRDefault="00D3433B" w:rsidP="00D3433B">
            <w:pPr>
              <w:jc w:val="center"/>
              <w:rPr>
                <w:color w:val="000000"/>
              </w:rPr>
            </w:pPr>
            <w:r w:rsidRPr="00D3433B">
              <w:rPr>
                <w:color w:val="000000"/>
              </w:rPr>
              <w:t>2.2.1</w:t>
            </w:r>
          </w:p>
        </w:tc>
        <w:tc>
          <w:tcPr>
            <w:tcW w:w="7739" w:type="dxa"/>
            <w:tcBorders>
              <w:top w:val="nil"/>
              <w:left w:val="nil"/>
              <w:bottom w:val="single" w:sz="4" w:space="0" w:color="auto"/>
              <w:right w:val="single" w:sz="4" w:space="0" w:color="auto"/>
            </w:tcBorders>
            <w:vAlign w:val="center"/>
            <w:hideMark/>
          </w:tcPr>
          <w:p w:rsidR="00D3433B" w:rsidRPr="00D3433B" w:rsidRDefault="00D3433B" w:rsidP="00D3433B">
            <w:pPr>
              <w:rPr>
                <w:color w:val="000000"/>
              </w:rPr>
            </w:pPr>
            <w:r w:rsidRPr="00D3433B">
              <w:rPr>
                <w:color w:val="000000"/>
              </w:rPr>
              <w:t>канальная прокладка</w:t>
            </w:r>
          </w:p>
        </w:tc>
        <w:tc>
          <w:tcPr>
            <w:tcW w:w="1457" w:type="dxa"/>
            <w:tcBorders>
              <w:top w:val="nil"/>
              <w:left w:val="nil"/>
              <w:bottom w:val="single" w:sz="4" w:space="0" w:color="auto"/>
              <w:right w:val="single" w:sz="4" w:space="0" w:color="auto"/>
            </w:tcBorders>
            <w:noWrap/>
            <w:vAlign w:val="center"/>
            <w:hideMark/>
          </w:tcPr>
          <w:p w:rsidR="00D3433B" w:rsidRPr="00D3433B" w:rsidRDefault="00D3433B" w:rsidP="00D3433B">
            <w:pPr>
              <w:jc w:val="center"/>
              <w:rPr>
                <w:color w:val="000000"/>
              </w:rPr>
            </w:pPr>
            <w:r w:rsidRPr="00D3433B">
              <w:rPr>
                <w:bCs/>
                <w:color w:val="000000"/>
              </w:rPr>
              <w:t>13 568 320,69</w:t>
            </w:r>
          </w:p>
        </w:tc>
      </w:tr>
      <w:tr w:rsidR="00D3433B" w:rsidRPr="00D3433B" w:rsidTr="00D3433B">
        <w:trPr>
          <w:trHeight w:val="60"/>
        </w:trPr>
        <w:tc>
          <w:tcPr>
            <w:tcW w:w="766" w:type="dxa"/>
            <w:tcBorders>
              <w:top w:val="nil"/>
              <w:left w:val="single" w:sz="4" w:space="0" w:color="auto"/>
              <w:bottom w:val="single" w:sz="4" w:space="0" w:color="auto"/>
              <w:right w:val="single" w:sz="4" w:space="0" w:color="auto"/>
            </w:tcBorders>
            <w:noWrap/>
            <w:vAlign w:val="center"/>
            <w:hideMark/>
          </w:tcPr>
          <w:p w:rsidR="00D3433B" w:rsidRPr="00D3433B" w:rsidRDefault="00D3433B" w:rsidP="00D3433B">
            <w:pPr>
              <w:jc w:val="center"/>
              <w:rPr>
                <w:color w:val="000000"/>
              </w:rPr>
            </w:pPr>
            <w:r w:rsidRPr="00D3433B">
              <w:rPr>
                <w:color w:val="000000"/>
              </w:rPr>
              <w:t>2.2.1.1</w:t>
            </w:r>
          </w:p>
        </w:tc>
        <w:tc>
          <w:tcPr>
            <w:tcW w:w="7739" w:type="dxa"/>
            <w:tcBorders>
              <w:top w:val="nil"/>
              <w:left w:val="nil"/>
              <w:bottom w:val="single" w:sz="4" w:space="0" w:color="auto"/>
              <w:right w:val="single" w:sz="4" w:space="0" w:color="auto"/>
            </w:tcBorders>
            <w:vAlign w:val="center"/>
            <w:hideMark/>
          </w:tcPr>
          <w:p w:rsidR="00D3433B" w:rsidRPr="00D3433B" w:rsidRDefault="00D3433B" w:rsidP="00D3433B">
            <w:pPr>
              <w:rPr>
                <w:color w:val="000000"/>
              </w:rPr>
            </w:pPr>
            <w:r w:rsidRPr="00D3433B">
              <w:rPr>
                <w:color w:val="000000"/>
              </w:rPr>
              <w:t>50-250мм</w:t>
            </w:r>
          </w:p>
        </w:tc>
        <w:tc>
          <w:tcPr>
            <w:tcW w:w="1457" w:type="dxa"/>
            <w:tcBorders>
              <w:top w:val="nil"/>
              <w:left w:val="nil"/>
              <w:bottom w:val="single" w:sz="4" w:space="0" w:color="auto"/>
              <w:right w:val="single" w:sz="4" w:space="0" w:color="auto"/>
            </w:tcBorders>
            <w:noWrap/>
            <w:vAlign w:val="center"/>
            <w:hideMark/>
          </w:tcPr>
          <w:p w:rsidR="00D3433B" w:rsidRPr="00D3433B" w:rsidRDefault="00D3433B" w:rsidP="00D3433B">
            <w:pPr>
              <w:jc w:val="center"/>
              <w:rPr>
                <w:color w:val="000000"/>
              </w:rPr>
            </w:pPr>
            <w:r w:rsidRPr="00D3433B">
              <w:rPr>
                <w:bCs/>
                <w:color w:val="000000"/>
              </w:rPr>
              <w:t>13 568 320,69</w:t>
            </w:r>
          </w:p>
        </w:tc>
      </w:tr>
      <w:tr w:rsidR="00D3433B" w:rsidRPr="00D3433B" w:rsidTr="00916314">
        <w:trPr>
          <w:trHeight w:val="97"/>
        </w:trPr>
        <w:tc>
          <w:tcPr>
            <w:tcW w:w="766" w:type="dxa"/>
            <w:tcBorders>
              <w:top w:val="nil"/>
              <w:left w:val="single" w:sz="4" w:space="0" w:color="auto"/>
              <w:bottom w:val="single" w:sz="4" w:space="0" w:color="auto"/>
              <w:right w:val="single" w:sz="4" w:space="0" w:color="auto"/>
            </w:tcBorders>
            <w:noWrap/>
            <w:vAlign w:val="center"/>
            <w:hideMark/>
          </w:tcPr>
          <w:p w:rsidR="00D3433B" w:rsidRPr="00D3433B" w:rsidRDefault="00D3433B" w:rsidP="00D3433B">
            <w:pPr>
              <w:jc w:val="center"/>
              <w:rPr>
                <w:bCs/>
                <w:color w:val="000000"/>
              </w:rPr>
            </w:pPr>
            <w:r w:rsidRPr="00D3433B">
              <w:rPr>
                <w:bCs/>
                <w:color w:val="000000"/>
              </w:rPr>
              <w:t>3</w:t>
            </w:r>
          </w:p>
        </w:tc>
        <w:tc>
          <w:tcPr>
            <w:tcW w:w="7739" w:type="dxa"/>
            <w:tcBorders>
              <w:top w:val="nil"/>
              <w:left w:val="nil"/>
              <w:bottom w:val="single" w:sz="4" w:space="0" w:color="auto"/>
              <w:right w:val="single" w:sz="4" w:space="0" w:color="auto"/>
            </w:tcBorders>
            <w:vAlign w:val="center"/>
            <w:hideMark/>
          </w:tcPr>
          <w:p w:rsidR="00D3433B" w:rsidRPr="00D3433B" w:rsidRDefault="00D3433B" w:rsidP="00D3433B">
            <w:pPr>
              <w:jc w:val="both"/>
              <w:rPr>
                <w:bCs/>
                <w:color w:val="000000"/>
              </w:rPr>
            </w:pPr>
            <w:r w:rsidRPr="00D3433B">
              <w:rPr>
                <w:bCs/>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sidRPr="00D3433B">
              <w:rPr>
                <w:bCs/>
                <w:color w:val="000000"/>
              </w:rPr>
              <w:t>2</w:t>
            </w:r>
            <w:proofErr w:type="gramEnd"/>
            <w:r w:rsidRPr="00D3433B">
              <w:rPr>
                <w:bCs/>
                <w:color w:val="000000"/>
              </w:rPr>
              <w:t>.2)</w:t>
            </w:r>
          </w:p>
        </w:tc>
        <w:tc>
          <w:tcPr>
            <w:tcW w:w="1457" w:type="dxa"/>
            <w:tcBorders>
              <w:top w:val="nil"/>
              <w:left w:val="nil"/>
              <w:bottom w:val="single" w:sz="4" w:space="0" w:color="auto"/>
              <w:right w:val="single" w:sz="4" w:space="0" w:color="auto"/>
            </w:tcBorders>
            <w:noWrap/>
            <w:vAlign w:val="center"/>
            <w:hideMark/>
          </w:tcPr>
          <w:p w:rsidR="00D3433B" w:rsidRPr="00D3433B" w:rsidRDefault="00D3433B" w:rsidP="00D3433B">
            <w:pPr>
              <w:jc w:val="center"/>
              <w:rPr>
                <w:bCs/>
                <w:color w:val="000000"/>
              </w:rPr>
            </w:pPr>
            <w:r w:rsidRPr="00D3433B">
              <w:rPr>
                <w:bCs/>
                <w:color w:val="000000"/>
              </w:rPr>
              <w:t>0,00</w:t>
            </w:r>
          </w:p>
        </w:tc>
      </w:tr>
      <w:tr w:rsidR="00D3433B" w:rsidRPr="00D3433B" w:rsidTr="00916314">
        <w:trPr>
          <w:trHeight w:val="60"/>
        </w:trPr>
        <w:tc>
          <w:tcPr>
            <w:tcW w:w="766" w:type="dxa"/>
            <w:tcBorders>
              <w:top w:val="nil"/>
              <w:left w:val="single" w:sz="4" w:space="0" w:color="auto"/>
              <w:bottom w:val="single" w:sz="4" w:space="0" w:color="auto"/>
              <w:right w:val="single" w:sz="4" w:space="0" w:color="auto"/>
            </w:tcBorders>
            <w:noWrap/>
            <w:vAlign w:val="center"/>
            <w:hideMark/>
          </w:tcPr>
          <w:p w:rsidR="00D3433B" w:rsidRPr="00D3433B" w:rsidRDefault="00D3433B" w:rsidP="00D3433B">
            <w:pPr>
              <w:jc w:val="center"/>
              <w:rPr>
                <w:bCs/>
                <w:color w:val="000000"/>
              </w:rPr>
            </w:pPr>
            <w:r w:rsidRPr="00D3433B">
              <w:rPr>
                <w:bCs/>
                <w:color w:val="000000"/>
              </w:rPr>
              <w:t>4</w:t>
            </w:r>
          </w:p>
        </w:tc>
        <w:tc>
          <w:tcPr>
            <w:tcW w:w="7739" w:type="dxa"/>
            <w:tcBorders>
              <w:top w:val="nil"/>
              <w:left w:val="nil"/>
              <w:bottom w:val="single" w:sz="4" w:space="0" w:color="auto"/>
              <w:right w:val="single" w:sz="4" w:space="0" w:color="auto"/>
            </w:tcBorders>
            <w:vAlign w:val="center"/>
            <w:hideMark/>
          </w:tcPr>
          <w:p w:rsidR="00D3433B" w:rsidRPr="00D3433B" w:rsidRDefault="00D3433B" w:rsidP="00D3433B">
            <w:pPr>
              <w:rPr>
                <w:bCs/>
                <w:color w:val="000000"/>
              </w:rPr>
            </w:pPr>
            <w:r w:rsidRPr="00D3433B">
              <w:rPr>
                <w:bCs/>
                <w:color w:val="000000"/>
              </w:rPr>
              <w:t>Налог на прибыль</w:t>
            </w:r>
          </w:p>
        </w:tc>
        <w:tc>
          <w:tcPr>
            <w:tcW w:w="1457" w:type="dxa"/>
            <w:tcBorders>
              <w:top w:val="nil"/>
              <w:left w:val="nil"/>
              <w:bottom w:val="single" w:sz="4" w:space="0" w:color="auto"/>
              <w:right w:val="single" w:sz="4" w:space="0" w:color="auto"/>
            </w:tcBorders>
            <w:noWrap/>
            <w:vAlign w:val="center"/>
            <w:hideMark/>
          </w:tcPr>
          <w:p w:rsidR="00D3433B" w:rsidRPr="00D3433B" w:rsidRDefault="00D3433B" w:rsidP="00D3433B">
            <w:pPr>
              <w:jc w:val="center"/>
              <w:rPr>
                <w:bCs/>
                <w:color w:val="000000"/>
              </w:rPr>
            </w:pPr>
            <w:r w:rsidRPr="00D3433B">
              <w:rPr>
                <w:bCs/>
                <w:color w:val="000000"/>
              </w:rPr>
              <w:t>10 653,52</w:t>
            </w:r>
          </w:p>
        </w:tc>
      </w:tr>
    </w:tbl>
    <w:p w:rsidR="00D3433B" w:rsidRPr="00D3433B" w:rsidRDefault="00D3433B" w:rsidP="00D3433B">
      <w:pPr>
        <w:spacing w:after="200" w:line="276" w:lineRule="auto"/>
        <w:ind w:left="-426"/>
        <w:rPr>
          <w:rFonts w:eastAsia="Calibri"/>
          <w:sz w:val="24"/>
          <w:szCs w:val="24"/>
          <w:lang w:eastAsia="en-US"/>
        </w:rPr>
      </w:pPr>
      <w:r w:rsidRPr="00D3433B">
        <w:t xml:space="preserve">       *  Плата указана без учета налога на добавленную стоимость</w:t>
      </w:r>
    </w:p>
    <w:p w:rsidR="00D3433B" w:rsidRDefault="00D3433B" w:rsidP="00D3433B">
      <w:pPr>
        <w:ind w:right="-144" w:firstLine="567"/>
        <w:jc w:val="center"/>
        <w:rPr>
          <w:b/>
          <w:sz w:val="24"/>
          <w:szCs w:val="24"/>
        </w:rPr>
      </w:pPr>
      <w:r w:rsidRPr="00D3433B">
        <w:rPr>
          <w:b/>
          <w:sz w:val="24"/>
          <w:szCs w:val="24"/>
        </w:rPr>
        <w:t>Результаты голосования: за – 4 человек, против – нет, воздержались – нет.</w:t>
      </w:r>
    </w:p>
    <w:p w:rsidR="003559AF" w:rsidRPr="00D3433B" w:rsidRDefault="003559AF" w:rsidP="00D3433B">
      <w:pPr>
        <w:ind w:right="-144" w:firstLine="567"/>
        <w:jc w:val="center"/>
        <w:rPr>
          <w:b/>
          <w:sz w:val="24"/>
          <w:szCs w:val="24"/>
        </w:rPr>
      </w:pPr>
    </w:p>
    <w:p w:rsidR="00D3433B" w:rsidRDefault="00916314" w:rsidP="003559AF">
      <w:pPr>
        <w:ind w:firstLine="567"/>
        <w:jc w:val="both"/>
        <w:rPr>
          <w:b/>
          <w:sz w:val="24"/>
          <w:szCs w:val="24"/>
        </w:rPr>
      </w:pPr>
      <w:r>
        <w:rPr>
          <w:b/>
          <w:sz w:val="24"/>
          <w:szCs w:val="24"/>
        </w:rPr>
        <w:t xml:space="preserve">3. </w:t>
      </w:r>
      <w:proofErr w:type="gramStart"/>
      <w:r w:rsidR="00D3433B" w:rsidRPr="00D3433B">
        <w:rPr>
          <w:b/>
          <w:sz w:val="24"/>
          <w:szCs w:val="24"/>
        </w:rPr>
        <w:t xml:space="preserve">По вопросу повестки «Об установлении платы за подключение (технологическое присоединение) к системе теплоснабжения </w:t>
      </w:r>
      <w:proofErr w:type="spellStart"/>
      <w:r w:rsidR="00D3433B" w:rsidRPr="00D3433B">
        <w:rPr>
          <w:b/>
          <w:sz w:val="24"/>
          <w:szCs w:val="24"/>
        </w:rPr>
        <w:t>Сосновоборского</w:t>
      </w:r>
      <w:proofErr w:type="spellEnd"/>
      <w:r w:rsidR="00D3433B" w:rsidRPr="00D3433B">
        <w:rPr>
          <w:b/>
          <w:sz w:val="24"/>
          <w:szCs w:val="24"/>
        </w:rPr>
        <w:t xml:space="preserve"> муниципального унитарного предприятия «Теплоснабжающее предприятие»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00D3433B" w:rsidRPr="00D3433B">
        <w:rPr>
          <w:b/>
          <w:sz w:val="24"/>
          <w:szCs w:val="24"/>
        </w:rPr>
        <w:t>Сосновоборский</w:t>
      </w:r>
      <w:proofErr w:type="spellEnd"/>
      <w:r w:rsidR="00D3433B" w:rsidRPr="00D3433B">
        <w:rPr>
          <w:b/>
          <w:sz w:val="24"/>
          <w:szCs w:val="24"/>
        </w:rPr>
        <w:t xml:space="preserve"> городской округ» Ленинградской области, на 2018 год»</w:t>
      </w:r>
      <w:r w:rsidR="00D3433B">
        <w:rPr>
          <w:b/>
          <w:sz w:val="24"/>
          <w:szCs w:val="24"/>
        </w:rPr>
        <w:t>.</w:t>
      </w:r>
      <w:proofErr w:type="gramEnd"/>
    </w:p>
    <w:p w:rsidR="00D3433B" w:rsidRPr="00D3433B" w:rsidRDefault="00D3433B" w:rsidP="007057F1">
      <w:pPr>
        <w:ind w:right="-144" w:firstLine="567"/>
        <w:jc w:val="both"/>
        <w:rPr>
          <w:sz w:val="24"/>
          <w:szCs w:val="24"/>
        </w:rPr>
      </w:pPr>
      <w:r>
        <w:rPr>
          <w:sz w:val="24"/>
          <w:szCs w:val="24"/>
        </w:rPr>
        <w:t>Рассмотрение вопроса перенесено.</w:t>
      </w:r>
    </w:p>
    <w:p w:rsidR="00916314" w:rsidRDefault="00916314" w:rsidP="00916314">
      <w:pPr>
        <w:ind w:right="-144" w:firstLine="567"/>
        <w:jc w:val="center"/>
        <w:rPr>
          <w:b/>
          <w:sz w:val="24"/>
          <w:szCs w:val="24"/>
        </w:rPr>
      </w:pPr>
    </w:p>
    <w:p w:rsidR="00916314" w:rsidRPr="00916314" w:rsidRDefault="00916314" w:rsidP="00916314">
      <w:pPr>
        <w:ind w:right="-144" w:firstLine="567"/>
        <w:jc w:val="center"/>
        <w:rPr>
          <w:b/>
          <w:sz w:val="24"/>
          <w:szCs w:val="24"/>
        </w:rPr>
      </w:pPr>
      <w:r w:rsidRPr="00916314">
        <w:rPr>
          <w:b/>
          <w:sz w:val="24"/>
          <w:szCs w:val="24"/>
        </w:rPr>
        <w:t>Результаты голосования: за – 4 человек, против – нет, воздержались – нет.</w:t>
      </w:r>
    </w:p>
    <w:p w:rsidR="00D3433B" w:rsidRDefault="00D3433B" w:rsidP="007057F1">
      <w:pPr>
        <w:ind w:right="-144" w:firstLine="567"/>
        <w:jc w:val="both"/>
        <w:rPr>
          <w:sz w:val="24"/>
          <w:szCs w:val="24"/>
        </w:rPr>
      </w:pPr>
    </w:p>
    <w:p w:rsidR="00916314" w:rsidRDefault="00916314"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sidR="003559AF">
        <w:rPr>
          <w:sz w:val="24"/>
          <w:szCs w:val="24"/>
        </w:rPr>
        <w:tab/>
      </w:r>
      <w:r w:rsidR="003559AF">
        <w:rPr>
          <w:sz w:val="24"/>
          <w:szCs w:val="24"/>
        </w:rPr>
        <w:tab/>
      </w:r>
      <w:r w:rsidR="003559AF">
        <w:rPr>
          <w:sz w:val="24"/>
          <w:szCs w:val="24"/>
        </w:rPr>
        <w:tab/>
      </w:r>
      <w:r w:rsidR="003559AF">
        <w:rPr>
          <w:sz w:val="24"/>
          <w:szCs w:val="24"/>
        </w:rPr>
        <w:tab/>
      </w:r>
      <w:r w:rsidR="003559AF">
        <w:rPr>
          <w:sz w:val="24"/>
          <w:szCs w:val="24"/>
        </w:rPr>
        <w:tab/>
      </w:r>
      <w:r w:rsidR="003559AF">
        <w:rPr>
          <w:sz w:val="24"/>
          <w:szCs w:val="24"/>
        </w:rPr>
        <w:tab/>
        <w:t xml:space="preserve">                 </w:t>
      </w:r>
      <w:r>
        <w:rPr>
          <w:sz w:val="24"/>
          <w:szCs w:val="24"/>
        </w:rPr>
        <w:t xml:space="preserve"> </w:t>
      </w:r>
      <w:r w:rsidR="00D3433B">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r w:rsidR="00916314">
        <w:rPr>
          <w:sz w:val="24"/>
          <w:szCs w:val="24"/>
        </w:rPr>
        <w:t>и регулирования</w:t>
      </w:r>
    </w:p>
    <w:p w:rsidR="00916314" w:rsidRDefault="00BD37E4" w:rsidP="00916314">
      <w:pPr>
        <w:autoSpaceDE w:val="0"/>
        <w:autoSpaceDN w:val="0"/>
        <w:adjustRightInd w:val="0"/>
        <w:ind w:right="-1"/>
        <w:jc w:val="both"/>
        <w:rPr>
          <w:sz w:val="24"/>
          <w:szCs w:val="24"/>
        </w:rPr>
      </w:pPr>
      <w:r>
        <w:rPr>
          <w:sz w:val="24"/>
          <w:szCs w:val="24"/>
        </w:rPr>
        <w:t xml:space="preserve">тарифов газоснабжения </w:t>
      </w:r>
      <w:r w:rsidR="00916314">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r w:rsidR="00916314" w:rsidRPr="00916314">
        <w:rPr>
          <w:sz w:val="24"/>
          <w:szCs w:val="24"/>
        </w:rPr>
        <w:t xml:space="preserve"> </w:t>
      </w:r>
      <w:proofErr w:type="gramStart"/>
      <w:r w:rsidR="00916314">
        <w:rPr>
          <w:sz w:val="24"/>
          <w:szCs w:val="24"/>
        </w:rPr>
        <w:t>значимых</w:t>
      </w:r>
      <w:proofErr w:type="gramEnd"/>
    </w:p>
    <w:p w:rsidR="00BD37E4" w:rsidRDefault="00BD37E4" w:rsidP="00BD37E4">
      <w:pPr>
        <w:autoSpaceDE w:val="0"/>
        <w:autoSpaceDN w:val="0"/>
        <w:adjustRightInd w:val="0"/>
        <w:ind w:right="-1"/>
        <w:jc w:val="both"/>
        <w:rPr>
          <w:sz w:val="24"/>
          <w:szCs w:val="24"/>
        </w:rPr>
      </w:pPr>
      <w:r>
        <w:rPr>
          <w:sz w:val="24"/>
          <w:szCs w:val="24"/>
        </w:rPr>
        <w:t>товаров и тарифов газоснабжения</w:t>
      </w:r>
      <w:r w:rsidR="003559AF">
        <w:rPr>
          <w:sz w:val="24"/>
          <w:szCs w:val="24"/>
        </w:rPr>
        <w:t xml:space="preserve"> </w:t>
      </w:r>
      <w:r w:rsidR="003559AF">
        <w:rPr>
          <w:sz w:val="24"/>
          <w:szCs w:val="24"/>
        </w:rPr>
        <w:tab/>
      </w:r>
      <w:r w:rsidR="003559AF">
        <w:rPr>
          <w:sz w:val="24"/>
          <w:szCs w:val="24"/>
        </w:rPr>
        <w:tab/>
      </w:r>
      <w:r w:rsidR="003559AF">
        <w:rPr>
          <w:sz w:val="24"/>
          <w:szCs w:val="24"/>
        </w:rPr>
        <w:tab/>
      </w:r>
      <w:r w:rsidR="003559AF">
        <w:rPr>
          <w:sz w:val="24"/>
          <w:szCs w:val="24"/>
        </w:rPr>
        <w:tab/>
      </w:r>
      <w:r w:rsidR="003559AF">
        <w:rPr>
          <w:sz w:val="24"/>
          <w:szCs w:val="24"/>
        </w:rPr>
        <w:tab/>
        <w:t xml:space="preserve">        </w:t>
      </w:r>
      <w:r w:rsidR="00916314">
        <w:rPr>
          <w:sz w:val="24"/>
          <w:szCs w:val="24"/>
        </w:rPr>
        <w:t xml:space="preserve">                       </w:t>
      </w:r>
      <w:r w:rsidR="003559AF">
        <w:rPr>
          <w:sz w:val="24"/>
          <w:szCs w:val="24"/>
        </w:rPr>
        <w:t xml:space="preserve">  </w:t>
      </w:r>
      <w:r>
        <w:rPr>
          <w:sz w:val="24"/>
          <w:szCs w:val="24"/>
        </w:rPr>
        <w:t xml:space="preserve"> </w:t>
      </w:r>
      <w:r w:rsidR="00D3433B">
        <w:rPr>
          <w:sz w:val="24"/>
          <w:szCs w:val="24"/>
        </w:rPr>
        <w:t xml:space="preserve">  </w:t>
      </w:r>
      <w:r>
        <w:rPr>
          <w:sz w:val="24"/>
          <w:szCs w:val="24"/>
        </w:rPr>
        <w:t xml:space="preserve"> 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r w:rsidR="00916314">
        <w:rPr>
          <w:sz w:val="24"/>
          <w:szCs w:val="24"/>
        </w:rPr>
        <w:t>в сфере теплоснабжения</w:t>
      </w:r>
    </w:p>
    <w:p w:rsidR="00BD37E4" w:rsidRDefault="00BD37E4" w:rsidP="00BD37E4">
      <w:pPr>
        <w:autoSpaceDE w:val="0"/>
        <w:autoSpaceDN w:val="0"/>
        <w:adjustRightInd w:val="0"/>
        <w:ind w:right="-1"/>
        <w:jc w:val="both"/>
        <w:rPr>
          <w:sz w:val="24"/>
          <w:szCs w:val="24"/>
        </w:rPr>
      </w:pPr>
      <w:r>
        <w:rPr>
          <w:sz w:val="24"/>
          <w:szCs w:val="24"/>
        </w:rPr>
        <w:t xml:space="preserve">департамента регулирования </w:t>
      </w:r>
      <w:r w:rsidR="00916314">
        <w:rPr>
          <w:sz w:val="24"/>
          <w:szCs w:val="24"/>
        </w:rPr>
        <w:t>тарифов организаций коммунального</w:t>
      </w:r>
    </w:p>
    <w:p w:rsidR="00BD37E4" w:rsidRDefault="00BD37E4" w:rsidP="00BD37E4">
      <w:pPr>
        <w:autoSpaceDE w:val="0"/>
        <w:autoSpaceDN w:val="0"/>
        <w:adjustRightInd w:val="0"/>
        <w:ind w:right="-1"/>
        <w:jc w:val="both"/>
        <w:rPr>
          <w:sz w:val="24"/>
          <w:szCs w:val="24"/>
        </w:rPr>
      </w:pPr>
      <w:r>
        <w:rPr>
          <w:sz w:val="24"/>
          <w:szCs w:val="24"/>
        </w:rPr>
        <w:t xml:space="preserve">комплекса </w:t>
      </w:r>
      <w:r w:rsidR="00916314">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t xml:space="preserve">                С.А. Курылко</w:t>
      </w:r>
    </w:p>
    <w:p w:rsidR="00BD37E4" w:rsidRDefault="00BD37E4" w:rsidP="00BD37E4">
      <w:pPr>
        <w:autoSpaceDE w:val="0"/>
        <w:autoSpaceDN w:val="0"/>
        <w:adjustRightInd w:val="0"/>
        <w:ind w:right="-1"/>
        <w:jc w:val="both"/>
        <w:rPr>
          <w:sz w:val="24"/>
          <w:szCs w:val="24"/>
        </w:rPr>
      </w:pPr>
    </w:p>
    <w:p w:rsidR="00916314" w:rsidRPr="00916314" w:rsidRDefault="00916314" w:rsidP="00916314">
      <w:pPr>
        <w:autoSpaceDE w:val="0"/>
        <w:autoSpaceDN w:val="0"/>
        <w:adjustRightInd w:val="0"/>
        <w:ind w:right="-1"/>
        <w:jc w:val="both"/>
        <w:rPr>
          <w:sz w:val="24"/>
          <w:szCs w:val="24"/>
        </w:rPr>
      </w:pPr>
      <w:r w:rsidRPr="00916314">
        <w:rPr>
          <w:sz w:val="24"/>
          <w:szCs w:val="24"/>
        </w:rPr>
        <w:t>Начальник отдела административно-правового</w:t>
      </w:r>
    </w:p>
    <w:p w:rsidR="00916314" w:rsidRPr="00916314" w:rsidRDefault="00916314" w:rsidP="00916314">
      <w:pPr>
        <w:autoSpaceDE w:val="0"/>
        <w:autoSpaceDN w:val="0"/>
        <w:adjustRightInd w:val="0"/>
        <w:ind w:right="-1"/>
        <w:jc w:val="both"/>
        <w:rPr>
          <w:sz w:val="24"/>
          <w:szCs w:val="24"/>
        </w:rPr>
      </w:pPr>
      <w:r w:rsidRPr="00916314">
        <w:rPr>
          <w:sz w:val="24"/>
          <w:szCs w:val="24"/>
        </w:rPr>
        <w:t>обеспечения и делопроизводства департамента контроля</w:t>
      </w:r>
    </w:p>
    <w:p w:rsidR="00916314" w:rsidRPr="00916314" w:rsidRDefault="00916314" w:rsidP="00916314">
      <w:pPr>
        <w:autoSpaceDE w:val="0"/>
        <w:autoSpaceDN w:val="0"/>
        <w:adjustRightInd w:val="0"/>
        <w:ind w:right="-1"/>
        <w:jc w:val="both"/>
        <w:rPr>
          <w:sz w:val="24"/>
          <w:szCs w:val="24"/>
        </w:rPr>
      </w:pPr>
      <w:r w:rsidRPr="00916314">
        <w:rPr>
          <w:sz w:val="24"/>
          <w:szCs w:val="24"/>
        </w:rPr>
        <w:t xml:space="preserve">и регулирования тарифов газоснабжения </w:t>
      </w:r>
    </w:p>
    <w:p w:rsidR="00916314" w:rsidRPr="00916314" w:rsidRDefault="00916314" w:rsidP="00916314">
      <w:pPr>
        <w:autoSpaceDE w:val="0"/>
        <w:autoSpaceDN w:val="0"/>
        <w:adjustRightInd w:val="0"/>
        <w:ind w:right="-1"/>
        <w:jc w:val="both"/>
        <w:rPr>
          <w:sz w:val="24"/>
          <w:szCs w:val="24"/>
        </w:rPr>
      </w:pPr>
      <w:r w:rsidRPr="00916314">
        <w:rPr>
          <w:sz w:val="24"/>
          <w:szCs w:val="24"/>
        </w:rPr>
        <w:t xml:space="preserve">и социально значимых товаров ЛенРТК </w:t>
      </w:r>
      <w:r w:rsidRPr="00916314">
        <w:rPr>
          <w:sz w:val="24"/>
          <w:szCs w:val="24"/>
        </w:rPr>
        <w:tab/>
      </w:r>
      <w:r w:rsidRPr="00916314">
        <w:rPr>
          <w:sz w:val="24"/>
          <w:szCs w:val="24"/>
        </w:rPr>
        <w:tab/>
      </w:r>
      <w:r w:rsidRPr="00916314">
        <w:rPr>
          <w:sz w:val="24"/>
          <w:szCs w:val="24"/>
        </w:rPr>
        <w:tab/>
      </w:r>
      <w:r w:rsidRPr="00916314">
        <w:rPr>
          <w:sz w:val="24"/>
          <w:szCs w:val="24"/>
        </w:rPr>
        <w:tab/>
      </w:r>
      <w:r w:rsidRPr="00916314">
        <w:rPr>
          <w:sz w:val="24"/>
          <w:szCs w:val="24"/>
        </w:rPr>
        <w:tab/>
      </w:r>
      <w:r w:rsidRPr="00916314">
        <w:rPr>
          <w:sz w:val="24"/>
          <w:szCs w:val="24"/>
        </w:rPr>
        <w:tab/>
      </w:r>
      <w:r w:rsidRPr="00916314">
        <w:rPr>
          <w:sz w:val="24"/>
          <w:szCs w:val="24"/>
        </w:rPr>
        <w:tab/>
        <w:t>С.Д. Черепанова</w:t>
      </w:r>
    </w:p>
    <w:p w:rsidR="00916314" w:rsidRDefault="00916314" w:rsidP="00BD37E4">
      <w:pPr>
        <w:autoSpaceDE w:val="0"/>
        <w:autoSpaceDN w:val="0"/>
        <w:adjustRightInd w:val="0"/>
        <w:ind w:right="-1"/>
        <w:jc w:val="both"/>
        <w:rPr>
          <w:sz w:val="24"/>
          <w:szCs w:val="24"/>
        </w:rPr>
      </w:pPr>
      <w:bookmarkStart w:id="0" w:name="_GoBack"/>
      <w:bookmarkEnd w:id="0"/>
    </w:p>
    <w:p w:rsidR="00916314" w:rsidRDefault="0091631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3559AF">
        <w:rPr>
          <w:sz w:val="24"/>
          <w:szCs w:val="24"/>
        </w:rPr>
        <w:t xml:space="preserve">                           </w:t>
      </w:r>
      <w:r>
        <w:rPr>
          <w:sz w:val="24"/>
          <w:szCs w:val="24"/>
        </w:rPr>
        <w:t xml:space="preserve">    </w:t>
      </w:r>
      <w:r w:rsidR="00D3433B">
        <w:rPr>
          <w:sz w:val="24"/>
          <w:szCs w:val="24"/>
        </w:rPr>
        <w:t xml:space="preserve">   </w:t>
      </w:r>
      <w:r>
        <w:rPr>
          <w:sz w:val="24"/>
          <w:szCs w:val="24"/>
        </w:rPr>
        <w:t xml:space="preserve">  А.И. Тулупова</w:t>
      </w:r>
    </w:p>
    <w:sectPr w:rsidR="00BD37E4" w:rsidSect="003559AF">
      <w:headerReference w:type="default" r:id="rId8"/>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46" w:rsidRDefault="00A50846" w:rsidP="00A50846">
      <w:r>
        <w:separator/>
      </w:r>
    </w:p>
  </w:endnote>
  <w:endnote w:type="continuationSeparator" w:id="0">
    <w:p w:rsidR="00A50846" w:rsidRDefault="00A50846" w:rsidP="00A5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46" w:rsidRDefault="00A50846" w:rsidP="00A50846">
      <w:r>
        <w:separator/>
      </w:r>
    </w:p>
  </w:footnote>
  <w:footnote w:type="continuationSeparator" w:id="0">
    <w:p w:rsidR="00A50846" w:rsidRDefault="00A50846" w:rsidP="00A50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46" w:rsidRDefault="00A50846">
    <w:pPr>
      <w:pStyle w:val="a5"/>
      <w:jc w:val="center"/>
    </w:pPr>
  </w:p>
  <w:p w:rsidR="00A50846" w:rsidRDefault="00A508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960AD"/>
    <w:multiLevelType w:val="hybridMultilevel"/>
    <w:tmpl w:val="D326F4EA"/>
    <w:lvl w:ilvl="0" w:tplc="C486EFD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7330D1"/>
    <w:multiLevelType w:val="hybridMultilevel"/>
    <w:tmpl w:val="2B1E7A0C"/>
    <w:lvl w:ilvl="0" w:tplc="04190001">
      <w:start w:val="1"/>
      <w:numFmt w:val="bullet"/>
      <w:lvlText w:val=""/>
      <w:lvlJc w:val="left"/>
      <w:pPr>
        <w:tabs>
          <w:tab w:val="num" w:pos="1635"/>
        </w:tabs>
        <w:ind w:left="16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3244F8C"/>
    <w:multiLevelType w:val="multilevel"/>
    <w:tmpl w:val="0D5A7BF0"/>
    <w:lvl w:ilvl="0">
      <w:start w:val="1"/>
      <w:numFmt w:val="decimal"/>
      <w:lvlText w:val="%1."/>
      <w:lvlJc w:val="left"/>
      <w:pPr>
        <w:ind w:left="360" w:hanging="360"/>
      </w:pPr>
      <w:rPr>
        <w:rFonts w:eastAsia="Times New Roman" w:hint="default"/>
      </w:rPr>
    </w:lvl>
    <w:lvl w:ilvl="1">
      <w:start w:val="2"/>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
    <w:nsid w:val="5AF00599"/>
    <w:multiLevelType w:val="hybridMultilevel"/>
    <w:tmpl w:val="A2DA0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2482E6E"/>
    <w:multiLevelType w:val="hybridMultilevel"/>
    <w:tmpl w:val="4EA47E30"/>
    <w:lvl w:ilvl="0" w:tplc="16C85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BE5ACE"/>
    <w:multiLevelType w:val="hybridMultilevel"/>
    <w:tmpl w:val="0750FA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7C215F62"/>
    <w:multiLevelType w:val="hybridMultilevel"/>
    <w:tmpl w:val="D9DA14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E2876"/>
    <w:rsid w:val="0015227D"/>
    <w:rsid w:val="001620E2"/>
    <w:rsid w:val="001E58D9"/>
    <w:rsid w:val="002627EB"/>
    <w:rsid w:val="00276996"/>
    <w:rsid w:val="003559AF"/>
    <w:rsid w:val="003B6B87"/>
    <w:rsid w:val="00501340"/>
    <w:rsid w:val="005A40CD"/>
    <w:rsid w:val="007057F1"/>
    <w:rsid w:val="007753ED"/>
    <w:rsid w:val="0084613E"/>
    <w:rsid w:val="00894DB5"/>
    <w:rsid w:val="00916314"/>
    <w:rsid w:val="00932E36"/>
    <w:rsid w:val="009A63CA"/>
    <w:rsid w:val="00A34C6B"/>
    <w:rsid w:val="00A50846"/>
    <w:rsid w:val="00B347F3"/>
    <w:rsid w:val="00BD37E4"/>
    <w:rsid w:val="00D06E9B"/>
    <w:rsid w:val="00D3433B"/>
    <w:rsid w:val="00E9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header"/>
    <w:basedOn w:val="a"/>
    <w:link w:val="a6"/>
    <w:uiPriority w:val="99"/>
    <w:unhideWhenUsed/>
    <w:rsid w:val="00A50846"/>
    <w:pPr>
      <w:tabs>
        <w:tab w:val="center" w:pos="4677"/>
        <w:tab w:val="right" w:pos="9355"/>
      </w:tabs>
    </w:pPr>
  </w:style>
  <w:style w:type="character" w:customStyle="1" w:styleId="a6">
    <w:name w:val="Верхний колонтитул Знак"/>
    <w:basedOn w:val="a0"/>
    <w:link w:val="a5"/>
    <w:uiPriority w:val="99"/>
    <w:rsid w:val="00A5084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50846"/>
    <w:pPr>
      <w:tabs>
        <w:tab w:val="center" w:pos="4677"/>
        <w:tab w:val="right" w:pos="9355"/>
      </w:tabs>
    </w:pPr>
  </w:style>
  <w:style w:type="character" w:customStyle="1" w:styleId="a8">
    <w:name w:val="Нижний колонтитул Знак"/>
    <w:basedOn w:val="a0"/>
    <w:link w:val="a7"/>
    <w:uiPriority w:val="99"/>
    <w:rsid w:val="00A50846"/>
    <w:rPr>
      <w:rFonts w:ascii="Times New Roman" w:eastAsia="Times New Roman" w:hAnsi="Times New Roman" w:cs="Times New Roman"/>
      <w:sz w:val="20"/>
      <w:szCs w:val="20"/>
      <w:lang w:eastAsia="ru-RU"/>
    </w:rPr>
  </w:style>
  <w:style w:type="paragraph" w:styleId="a9">
    <w:name w:val="List Paragraph"/>
    <w:basedOn w:val="a"/>
    <w:uiPriority w:val="34"/>
    <w:qFormat/>
    <w:rsid w:val="00D34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header"/>
    <w:basedOn w:val="a"/>
    <w:link w:val="a6"/>
    <w:uiPriority w:val="99"/>
    <w:unhideWhenUsed/>
    <w:rsid w:val="00A50846"/>
    <w:pPr>
      <w:tabs>
        <w:tab w:val="center" w:pos="4677"/>
        <w:tab w:val="right" w:pos="9355"/>
      </w:tabs>
    </w:pPr>
  </w:style>
  <w:style w:type="character" w:customStyle="1" w:styleId="a6">
    <w:name w:val="Верхний колонтитул Знак"/>
    <w:basedOn w:val="a0"/>
    <w:link w:val="a5"/>
    <w:uiPriority w:val="99"/>
    <w:rsid w:val="00A5084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50846"/>
    <w:pPr>
      <w:tabs>
        <w:tab w:val="center" w:pos="4677"/>
        <w:tab w:val="right" w:pos="9355"/>
      </w:tabs>
    </w:pPr>
  </w:style>
  <w:style w:type="character" w:customStyle="1" w:styleId="a8">
    <w:name w:val="Нижний колонтитул Знак"/>
    <w:basedOn w:val="a0"/>
    <w:link w:val="a7"/>
    <w:uiPriority w:val="99"/>
    <w:rsid w:val="00A50846"/>
    <w:rPr>
      <w:rFonts w:ascii="Times New Roman" w:eastAsia="Times New Roman" w:hAnsi="Times New Roman" w:cs="Times New Roman"/>
      <w:sz w:val="20"/>
      <w:szCs w:val="20"/>
      <w:lang w:eastAsia="ru-RU"/>
    </w:rPr>
  </w:style>
  <w:style w:type="paragraph" w:styleId="a9">
    <w:name w:val="List Paragraph"/>
    <w:basedOn w:val="a"/>
    <w:uiPriority w:val="34"/>
    <w:qFormat/>
    <w:rsid w:val="00D34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877937497">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8264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2223</TotalTime>
  <Pages>4</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21</cp:revision>
  <cp:lastPrinted>2017-06-02T09:00:00Z</cp:lastPrinted>
  <dcterms:created xsi:type="dcterms:W3CDTF">2014-10-27T07:45:00Z</dcterms:created>
  <dcterms:modified xsi:type="dcterms:W3CDTF">2017-06-02T13:45:00Z</dcterms:modified>
</cp:coreProperties>
</file>