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B7570">
        <w:rPr>
          <w:b/>
          <w:color w:val="000000"/>
          <w:sz w:val="24"/>
          <w:szCs w:val="24"/>
        </w:rPr>
        <w:t>50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B7570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1B7570" w:rsidRPr="001B7570" w:rsidRDefault="002627EB" w:rsidP="001B75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1B7570" w:rsidRPr="001B7570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1B7570" w:rsidRPr="001B7570">
        <w:rPr>
          <w:sz w:val="24"/>
          <w:szCs w:val="24"/>
        </w:rPr>
        <w:t>Синюкова</w:t>
      </w:r>
      <w:proofErr w:type="spellEnd"/>
      <w:r w:rsidR="001B7570" w:rsidRPr="001B7570">
        <w:rPr>
          <w:sz w:val="24"/>
          <w:szCs w:val="24"/>
        </w:rPr>
        <w:t xml:space="preserve"> Ирина Васильевна, Курылко Светлана Анатольевна,</w:t>
      </w:r>
      <w:r w:rsidR="001B7570" w:rsidRPr="001B7570">
        <w:rPr>
          <w:b/>
          <w:sz w:val="24"/>
          <w:szCs w:val="24"/>
        </w:rPr>
        <w:t xml:space="preserve"> </w:t>
      </w:r>
      <w:r w:rsidR="001B7570" w:rsidRPr="001B7570">
        <w:rPr>
          <w:sz w:val="24"/>
          <w:szCs w:val="24"/>
        </w:rPr>
        <w:t>Кремнева Наталья Николаевна, Кириенко Мария Георгиевна (голосует заочно).</w:t>
      </w:r>
    </w:p>
    <w:p w:rsidR="007057F1" w:rsidRPr="00912606" w:rsidRDefault="007057F1" w:rsidP="002627EB">
      <w:pPr>
        <w:ind w:firstLine="567"/>
        <w:jc w:val="both"/>
        <w:rPr>
          <w:sz w:val="24"/>
          <w:szCs w:val="24"/>
        </w:rPr>
      </w:pP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B7570" w:rsidRPr="001B7570" w:rsidRDefault="001B7570" w:rsidP="001B7570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B7570">
        <w:rPr>
          <w:sz w:val="24"/>
          <w:szCs w:val="24"/>
        </w:rPr>
        <w:t>1.</w:t>
      </w:r>
      <w:r w:rsidRPr="001B7570">
        <w:rPr>
          <w:sz w:val="24"/>
          <w:szCs w:val="24"/>
        </w:rPr>
        <w:tab/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2018 году.</w:t>
      </w:r>
    </w:p>
    <w:p w:rsidR="001B7570" w:rsidRPr="001B7570" w:rsidRDefault="001B7570" w:rsidP="001B7570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B7570">
        <w:rPr>
          <w:sz w:val="24"/>
          <w:szCs w:val="24"/>
        </w:rPr>
        <w:t>2.</w:t>
      </w:r>
      <w:r w:rsidRPr="001B7570">
        <w:rPr>
          <w:sz w:val="24"/>
          <w:szCs w:val="24"/>
        </w:rPr>
        <w:tab/>
        <w:t>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2018 году.</w:t>
      </w:r>
    </w:p>
    <w:p w:rsidR="003008C4" w:rsidRPr="001B7570" w:rsidRDefault="003008C4" w:rsidP="003008C4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B7570">
        <w:rPr>
          <w:sz w:val="24"/>
          <w:szCs w:val="24"/>
        </w:rPr>
        <w:t>.</w:t>
      </w:r>
      <w:r w:rsidRPr="001B7570">
        <w:rPr>
          <w:sz w:val="24"/>
          <w:szCs w:val="24"/>
        </w:rPr>
        <w:tab/>
        <w:t xml:space="preserve">Об установлении цен (тарифов) на электрическую энергию (мощность), произведенную на </w:t>
      </w:r>
      <w:proofErr w:type="gramStart"/>
      <w:r w:rsidRPr="001B7570">
        <w:rPr>
          <w:sz w:val="24"/>
          <w:szCs w:val="24"/>
        </w:rPr>
        <w:t>функционирующем</w:t>
      </w:r>
      <w:proofErr w:type="gramEnd"/>
      <w:r w:rsidRPr="001B7570">
        <w:rPr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общество с ограниченной ответственностью «</w:t>
      </w:r>
      <w:proofErr w:type="spellStart"/>
      <w:r w:rsidRPr="001B7570">
        <w:rPr>
          <w:sz w:val="24"/>
          <w:szCs w:val="24"/>
        </w:rPr>
        <w:t>Вирео</w:t>
      </w:r>
      <w:proofErr w:type="spellEnd"/>
      <w:r w:rsidRPr="001B7570">
        <w:rPr>
          <w:sz w:val="24"/>
          <w:szCs w:val="24"/>
        </w:rPr>
        <w:t xml:space="preserve"> </w:t>
      </w:r>
      <w:proofErr w:type="spellStart"/>
      <w:r w:rsidRPr="001B7570">
        <w:rPr>
          <w:sz w:val="24"/>
          <w:szCs w:val="24"/>
        </w:rPr>
        <w:t>Энерджи</w:t>
      </w:r>
      <w:proofErr w:type="spellEnd"/>
      <w:r w:rsidRPr="001B7570">
        <w:rPr>
          <w:sz w:val="24"/>
          <w:szCs w:val="24"/>
        </w:rPr>
        <w:t>», (станция активной дегазации полигона ТБО «Новый Свет-Эко» с электростанцией, работающей на свалочном газе) и приобретаемую в целях компенсации потерь в электрических сетях, на 2018 год.</w:t>
      </w:r>
    </w:p>
    <w:p w:rsidR="001B7570" w:rsidRPr="001B7570" w:rsidRDefault="003008C4" w:rsidP="001B7570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7570" w:rsidRPr="001B7570">
        <w:rPr>
          <w:sz w:val="24"/>
          <w:szCs w:val="24"/>
        </w:rPr>
        <w:t>.</w:t>
      </w:r>
      <w:r w:rsidR="001B7570" w:rsidRPr="001B7570">
        <w:rPr>
          <w:sz w:val="24"/>
          <w:szCs w:val="24"/>
        </w:rPr>
        <w:tab/>
      </w:r>
      <w:proofErr w:type="gramStart"/>
      <w:r w:rsidR="001B7570" w:rsidRPr="001B7570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13 июля 2012 года № 88-п «Об установлении долгосрочных параметров регулирования для открытого акционерного общества «Ленэнерго»,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области».</w:t>
      </w:r>
      <w:proofErr w:type="gramEnd"/>
    </w:p>
    <w:p w:rsidR="007057F1" w:rsidRDefault="003008C4" w:rsidP="001B7570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7570" w:rsidRPr="001B7570">
        <w:rPr>
          <w:sz w:val="24"/>
          <w:szCs w:val="24"/>
        </w:rPr>
        <w:t>.</w:t>
      </w:r>
      <w:r w:rsidR="001B7570" w:rsidRPr="001B7570">
        <w:rPr>
          <w:sz w:val="24"/>
          <w:szCs w:val="24"/>
        </w:rPr>
        <w:tab/>
        <w:t>Об установлении стандартизированных тарифных ставок, применяемых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области, на 2018 год.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FD163A" w:rsidRDefault="00FD163A" w:rsidP="00FD163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По вопросу повестки дня «Об установлении тарифов на электрическую энергию, поставляемую населению и приравненным к нему категориям потребителей Ленинградской области в 2018 году»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на электрическую энергию департамента регулирования тарифов организаций коммунального комплекса и электрической энергии комитета Маркелова И.Е. Изложила основные положения по расчету уровня тарифов на электрическую энергию, поставляемую населению и приравненным к нему категориям потребителей Ленинградской области в 2018 году в соответствии с приказом ФАС России от 13 октября 2017 года № 1354/17 «О предельных минимальных и максимальных уровнях тарифов на электрическую энергию (мощность) на 2018год».</w:t>
      </w:r>
    </w:p>
    <w:p w:rsidR="00FD163A" w:rsidRDefault="00FD163A" w:rsidP="00FD163A">
      <w:pPr>
        <w:ind w:firstLine="567"/>
        <w:jc w:val="both"/>
        <w:rPr>
          <w:bCs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</w:t>
      </w: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b/>
          <w:snapToGrid w:val="0"/>
          <w:sz w:val="24"/>
          <w:szCs w:val="24"/>
        </w:rPr>
      </w:pPr>
    </w:p>
    <w:p w:rsidR="00FD163A" w:rsidRDefault="00FD163A" w:rsidP="00FD163A">
      <w:pPr>
        <w:tabs>
          <w:tab w:val="left" w:pos="567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1. Установить понижающий коэффициент по  группам:</w:t>
      </w:r>
    </w:p>
    <w:tbl>
      <w:tblPr>
        <w:tblW w:w="4965" w:type="pct"/>
        <w:tblInd w:w="-34" w:type="dxa"/>
        <w:tblLook w:val="04A0" w:firstRow="1" w:lastRow="0" w:firstColumn="1" w:lastColumn="0" w:noHBand="0" w:noVBand="1"/>
      </w:tblPr>
      <w:tblGrid>
        <w:gridCol w:w="840"/>
        <w:gridCol w:w="6344"/>
        <w:gridCol w:w="1926"/>
        <w:gridCol w:w="1380"/>
      </w:tblGrid>
      <w:tr w:rsidR="00FD163A" w:rsidRPr="00FD163A" w:rsidTr="00FD163A">
        <w:trPr>
          <w:trHeight w:val="825"/>
          <w:tblHeader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№ </w:t>
            </w:r>
            <w:proofErr w:type="gramStart"/>
            <w:r w:rsidRPr="00FD163A">
              <w:rPr>
                <w:snapToGrid w:val="0"/>
              </w:rPr>
              <w:t>п</w:t>
            </w:r>
            <w:proofErr w:type="gramEnd"/>
            <w:r w:rsidRPr="00FD163A">
              <w:rPr>
                <w:snapToGrid w:val="0"/>
              </w:rPr>
              <w:t>/п</w:t>
            </w:r>
          </w:p>
        </w:tc>
        <w:tc>
          <w:tcPr>
            <w:tcW w:w="3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center"/>
              <w:rPr>
                <w:snapToGrid w:val="0"/>
              </w:rPr>
            </w:pPr>
            <w:r w:rsidRPr="00FD163A">
              <w:rPr>
                <w:snapToGrid w:val="0"/>
              </w:rPr>
              <w:t>Показатель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Примененный понижающий коэффициент при установлении цен (тарифов) на </w:t>
            </w:r>
            <w:proofErr w:type="gramStart"/>
            <w:r w:rsidRPr="00FD163A">
              <w:rPr>
                <w:snapToGrid w:val="0"/>
              </w:rPr>
              <w:t>электрическую</w:t>
            </w:r>
            <w:proofErr w:type="gramEnd"/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center"/>
              <w:rPr>
                <w:snapToGrid w:val="0"/>
              </w:rPr>
            </w:pPr>
            <w:r w:rsidRPr="00FD163A">
              <w:rPr>
                <w:snapToGrid w:val="0"/>
              </w:rPr>
              <w:t>энергию (мощность)</w:t>
            </w:r>
          </w:p>
        </w:tc>
      </w:tr>
      <w:tr w:rsidR="00FD163A" w:rsidRPr="00FD163A" w:rsidTr="00FD163A">
        <w:trPr>
          <w:trHeight w:val="5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rPr>
                <w:snapToGrid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rPr>
                <w:snapToGrid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с 01.01.2018 г.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по 30.06.2018 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с 01.07.2018г.  по 31.12.2018г. </w:t>
            </w:r>
          </w:p>
        </w:tc>
      </w:tr>
      <w:tr w:rsidR="00FD163A" w:rsidRPr="00FD163A" w:rsidTr="00FD163A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FD163A">
              <w:rPr>
                <w:snapToGrid w:val="0"/>
              </w:rPr>
              <w:t>приравненные</w:t>
            </w:r>
            <w:proofErr w:type="gramEnd"/>
            <w:r w:rsidRPr="00FD163A">
              <w:rPr>
                <w:snapToGrid w:val="0"/>
              </w:rPr>
              <w:t xml:space="preserve"> к ним: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D163A">
              <w:rPr>
                <w:snapToGrid w:val="0"/>
              </w:rPr>
              <w:t>наймодатели</w:t>
            </w:r>
            <w:proofErr w:type="spellEnd"/>
            <w:r w:rsidRPr="00FD163A">
              <w:rPr>
                <w:snapToGrid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D163A">
              <w:rPr>
                <w:snapToGrid w:val="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Гарантирующие поставщики, </w:t>
            </w:r>
            <w:proofErr w:type="spellStart"/>
            <w:r w:rsidRPr="00FD163A">
              <w:rPr>
                <w:snapToGrid w:val="0"/>
              </w:rPr>
              <w:t>энергосбытовые</w:t>
            </w:r>
            <w:proofErr w:type="spellEnd"/>
            <w:r w:rsidRPr="00FD163A">
              <w:rPr>
                <w:snapToGrid w:val="0"/>
              </w:rPr>
              <w:t xml:space="preserve">, </w:t>
            </w:r>
            <w:proofErr w:type="spellStart"/>
            <w:r w:rsidRPr="00FD163A">
              <w:rPr>
                <w:snapToGrid w:val="0"/>
              </w:rPr>
              <w:t>энергоснабжающие</w:t>
            </w:r>
            <w:proofErr w:type="spellEnd"/>
            <w:r w:rsidRPr="00FD163A">
              <w:rPr>
                <w:snapToGrid w:val="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0,72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0,73</w:t>
            </w:r>
          </w:p>
        </w:tc>
      </w:tr>
      <w:tr w:rsidR="00FD163A" w:rsidRPr="00FD163A" w:rsidTr="00FD163A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2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Население, проживающее в сельских населенных пунктах и </w:t>
            </w:r>
            <w:proofErr w:type="gramStart"/>
            <w:r w:rsidRPr="00FD163A">
              <w:rPr>
                <w:snapToGrid w:val="0"/>
              </w:rPr>
              <w:t>приравненные</w:t>
            </w:r>
            <w:proofErr w:type="gramEnd"/>
            <w:r w:rsidRPr="00FD163A">
              <w:rPr>
                <w:snapToGrid w:val="0"/>
              </w:rPr>
              <w:t xml:space="preserve"> к ним: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D163A">
              <w:rPr>
                <w:snapToGrid w:val="0"/>
              </w:rPr>
              <w:t>наймодатели</w:t>
            </w:r>
            <w:proofErr w:type="spellEnd"/>
            <w:r w:rsidRPr="00FD163A">
              <w:rPr>
                <w:snapToGrid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D163A">
              <w:rPr>
                <w:snapToGrid w:val="0"/>
              </w:rPr>
              <w:t xml:space="preserve">) для предоставления </w:t>
            </w:r>
            <w:r w:rsidRPr="00FD163A">
              <w:rPr>
                <w:snapToGrid w:val="0"/>
              </w:rP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Гарантирующие поставщики, </w:t>
            </w:r>
            <w:proofErr w:type="spellStart"/>
            <w:r w:rsidRPr="00FD163A">
              <w:rPr>
                <w:snapToGrid w:val="0"/>
              </w:rPr>
              <w:t>энергосбытовые</w:t>
            </w:r>
            <w:proofErr w:type="spellEnd"/>
            <w:r w:rsidRPr="00FD163A">
              <w:rPr>
                <w:snapToGrid w:val="0"/>
              </w:rPr>
              <w:t xml:space="preserve">, </w:t>
            </w:r>
            <w:proofErr w:type="spellStart"/>
            <w:r w:rsidRPr="00FD163A">
              <w:rPr>
                <w:snapToGrid w:val="0"/>
              </w:rPr>
              <w:t>энергоснабжающие</w:t>
            </w:r>
            <w:proofErr w:type="spellEnd"/>
            <w:r w:rsidRPr="00FD163A">
              <w:rPr>
                <w:snapToGrid w:val="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lastRenderedPageBreak/>
              <w:t>0,72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0,72</w:t>
            </w:r>
          </w:p>
        </w:tc>
      </w:tr>
      <w:tr w:rsidR="00FD163A" w:rsidRPr="00FD163A" w:rsidTr="00FD163A">
        <w:trPr>
          <w:trHeight w:val="288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lastRenderedPageBreak/>
              <w:t>3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Потребители, приравненные к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</w:tr>
      <w:tr w:rsidR="00FD163A" w:rsidRPr="00FD163A" w:rsidTr="00FD163A">
        <w:trPr>
          <w:trHeight w:val="102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3.1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Гарантирующие поставщики, </w:t>
            </w:r>
            <w:proofErr w:type="spellStart"/>
            <w:r w:rsidRPr="00FD163A">
              <w:rPr>
                <w:snapToGrid w:val="0"/>
              </w:rPr>
              <w:t>энергосбытовые</w:t>
            </w:r>
            <w:proofErr w:type="spellEnd"/>
            <w:r w:rsidRPr="00FD163A">
              <w:rPr>
                <w:snapToGrid w:val="0"/>
              </w:rPr>
              <w:t xml:space="preserve">, </w:t>
            </w:r>
            <w:proofErr w:type="spellStart"/>
            <w:r w:rsidRPr="00FD163A">
              <w:rPr>
                <w:snapToGrid w:val="0"/>
              </w:rPr>
              <w:t>энергоснабжающие</w:t>
            </w:r>
            <w:proofErr w:type="spellEnd"/>
            <w:r w:rsidRPr="00FD163A">
              <w:rPr>
                <w:snapToGrid w:val="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</w:tr>
      <w:tr w:rsidR="00FD163A" w:rsidRPr="00FD163A" w:rsidTr="00FD163A">
        <w:trPr>
          <w:trHeight w:val="102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3.2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Гарантирующие поставщики, </w:t>
            </w:r>
            <w:proofErr w:type="spellStart"/>
            <w:r w:rsidRPr="00FD163A">
              <w:rPr>
                <w:snapToGrid w:val="0"/>
              </w:rPr>
              <w:t>энергосбытовые</w:t>
            </w:r>
            <w:proofErr w:type="spellEnd"/>
            <w:r w:rsidRPr="00FD163A">
              <w:rPr>
                <w:snapToGrid w:val="0"/>
              </w:rPr>
              <w:t xml:space="preserve">, </w:t>
            </w:r>
            <w:proofErr w:type="spellStart"/>
            <w:r w:rsidRPr="00FD163A">
              <w:rPr>
                <w:snapToGrid w:val="0"/>
              </w:rPr>
              <w:t>энергоснабжающие</w:t>
            </w:r>
            <w:proofErr w:type="spellEnd"/>
            <w:r w:rsidRPr="00FD163A">
              <w:rPr>
                <w:snapToGrid w:val="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</w:tr>
      <w:tr w:rsidR="00FD163A" w:rsidRPr="00FD163A" w:rsidTr="00FD163A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3.3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Содержащиеся за счет прихожан религиозные организации</w:t>
            </w:r>
          </w:p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 xml:space="preserve">Гарантирующие поставщики, </w:t>
            </w:r>
            <w:proofErr w:type="spellStart"/>
            <w:r w:rsidRPr="00FD163A">
              <w:rPr>
                <w:snapToGrid w:val="0"/>
              </w:rPr>
              <w:t>энергосбытовые</w:t>
            </w:r>
            <w:proofErr w:type="spellEnd"/>
            <w:r w:rsidRPr="00FD163A">
              <w:rPr>
                <w:snapToGrid w:val="0"/>
              </w:rPr>
              <w:t xml:space="preserve">, </w:t>
            </w:r>
            <w:proofErr w:type="spellStart"/>
            <w:r w:rsidRPr="00FD163A">
              <w:rPr>
                <w:snapToGrid w:val="0"/>
              </w:rPr>
              <w:t>энергоснабжающие</w:t>
            </w:r>
            <w:proofErr w:type="spellEnd"/>
            <w:r w:rsidRPr="00FD163A">
              <w:rPr>
                <w:snapToGrid w:val="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>
            <w:pPr>
              <w:tabs>
                <w:tab w:val="left" w:pos="567"/>
              </w:tabs>
              <w:ind w:firstLine="567"/>
              <w:jc w:val="both"/>
              <w:rPr>
                <w:snapToGrid w:val="0"/>
              </w:rPr>
            </w:pPr>
            <w:r w:rsidRPr="00FD163A">
              <w:rPr>
                <w:snapToGrid w:val="0"/>
              </w:rPr>
              <w:t>1,0</w:t>
            </w:r>
          </w:p>
        </w:tc>
      </w:tr>
    </w:tbl>
    <w:p w:rsidR="00FD163A" w:rsidRDefault="00FD163A" w:rsidP="00FD163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Установить тарифы для населения и приравненным к нему категориям потребителей  по группам:</w:t>
      </w:r>
    </w:p>
    <w:p w:rsidR="00FD163A" w:rsidRDefault="00FD163A" w:rsidP="00FD163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Цены (тарифы)</w:t>
      </w:r>
    </w:p>
    <w:p w:rsidR="00FD163A" w:rsidRDefault="00FD163A" w:rsidP="00FD163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электрическую энергию для населения и </w:t>
      </w:r>
      <w:proofErr w:type="gramStart"/>
      <w:r>
        <w:rPr>
          <w:sz w:val="24"/>
          <w:szCs w:val="24"/>
          <w:lang w:eastAsia="en-US"/>
        </w:rPr>
        <w:t>приравненным</w:t>
      </w:r>
      <w:proofErr w:type="gramEnd"/>
    </w:p>
    <w:p w:rsidR="00FD163A" w:rsidRDefault="00FD163A" w:rsidP="00FD163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нему категориям потребителей по Ленинградской области </w:t>
      </w:r>
    </w:p>
    <w:p w:rsidR="00FD163A" w:rsidRDefault="00FD163A" w:rsidP="00FD163A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701"/>
        <w:gridCol w:w="2126"/>
      </w:tblGrid>
      <w:tr w:rsidR="00FD163A" w:rsidRPr="00FD163A" w:rsidTr="00FD163A">
        <w:trPr>
          <w:tblHeader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Ленинградская область</w:t>
            </w:r>
          </w:p>
        </w:tc>
      </w:tr>
      <w:tr w:rsidR="00FD163A" w:rsidRPr="00FD163A" w:rsidTr="00FD163A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 xml:space="preserve">№ </w:t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proofErr w:type="gramStart"/>
            <w:r w:rsidRPr="00FD163A">
              <w:t>Показатель (группы потребителей</w:t>
            </w:r>
            <w:proofErr w:type="gramEnd"/>
          </w:p>
          <w:p w:rsidR="00FD163A" w:rsidRPr="00FD163A" w:rsidRDefault="00FD163A">
            <w:pPr>
              <w:jc w:val="center"/>
            </w:pPr>
            <w:r w:rsidRPr="00FD163A">
              <w:t>с разбивкой по ставкам</w:t>
            </w:r>
          </w:p>
          <w:p w:rsidR="00FD163A" w:rsidRPr="00FD163A" w:rsidRDefault="00FD163A">
            <w:pPr>
              <w:jc w:val="center"/>
            </w:pPr>
            <w:r w:rsidRPr="00FD163A">
              <w:t>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с 01.01.2018 г. по 30.06.2018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с 01.07.2018 г. по 31.12.2018 г.</w:t>
            </w:r>
          </w:p>
        </w:tc>
      </w:tr>
      <w:tr w:rsidR="00FD163A" w:rsidRPr="00FD163A" w:rsidTr="00FD163A">
        <w:trPr>
          <w:trHeight w:val="258"/>
          <w:tblHeader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Цена (тариф)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</w:pPr>
            <w:r w:rsidRPr="00FD163A"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FD163A" w:rsidRPr="00FD163A" w:rsidRDefault="00FD163A">
            <w:pPr>
              <w:jc w:val="both"/>
            </w:pPr>
            <w:r w:rsidRPr="00FD163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 w:rsidRPr="00FD163A"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D163A">
              <w:t>наймодатели</w:t>
            </w:r>
            <w:proofErr w:type="spellEnd"/>
            <w:r w:rsidRPr="00FD163A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D163A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163A" w:rsidRPr="00FD163A" w:rsidRDefault="00FD163A">
            <w:pPr>
              <w:jc w:val="both"/>
            </w:pPr>
            <w:r w:rsidRPr="00FD163A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163A" w:rsidRPr="00FD163A" w:rsidRDefault="00FD163A">
            <w:pPr>
              <w:jc w:val="both"/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lastRenderedPageBreak/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8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4,28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9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4,88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outlineLvl w:val="0"/>
            </w:pPr>
            <w:r w:rsidRPr="00FD163A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FD163A" w:rsidRPr="00FD163A" w:rsidRDefault="00FD163A">
            <w:pPr>
              <w:jc w:val="both"/>
            </w:pPr>
            <w:r w:rsidRPr="00FD163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D163A">
              <w:t>наймодатели</w:t>
            </w:r>
            <w:proofErr w:type="spellEnd"/>
            <w:r w:rsidRPr="00FD163A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D163A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163A" w:rsidRPr="00FD163A" w:rsidRDefault="00FD163A">
            <w:pPr>
              <w:jc w:val="both"/>
            </w:pPr>
            <w:r w:rsidRPr="00FD163A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163A" w:rsidRPr="00FD163A" w:rsidRDefault="00FD163A">
            <w:pPr>
              <w:jc w:val="both"/>
              <w:rPr>
                <w:vertAlign w:val="superscript"/>
              </w:rPr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0" w:history="1">
              <w:r w:rsidRPr="00FD163A">
                <w:rPr>
                  <w:rStyle w:val="a5"/>
                </w:rPr>
                <w:t>&lt;2&gt;</w:t>
              </w:r>
            </w:hyperlink>
            <w:r w:rsidRPr="00FD163A">
              <w:t>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11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3,12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1,62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12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3,56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1,62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outlineLvl w:val="0"/>
            </w:pPr>
            <w:r w:rsidRPr="00FD163A">
              <w:t xml:space="preserve">Население, проживающее в сельских населенных пунктах и приравненные к ним (тарифы указываются </w:t>
            </w:r>
            <w:r w:rsidRPr="00FD163A">
              <w:lastRenderedPageBreak/>
              <w:t>с учетом НДС):</w:t>
            </w:r>
          </w:p>
          <w:p w:rsidR="00FD163A" w:rsidRPr="00FD163A" w:rsidRDefault="00FD163A">
            <w:pPr>
              <w:jc w:val="both"/>
            </w:pPr>
            <w:r w:rsidRPr="00FD163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D163A">
              <w:t>наймодатели</w:t>
            </w:r>
            <w:proofErr w:type="spellEnd"/>
            <w:r w:rsidRPr="00FD163A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D163A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163A" w:rsidRPr="00FD163A" w:rsidRDefault="00FD163A">
            <w:pPr>
              <w:jc w:val="both"/>
            </w:pPr>
            <w:r w:rsidRPr="00FD163A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163A" w:rsidRPr="00FD163A" w:rsidRDefault="00FD163A">
            <w:pPr>
              <w:jc w:val="both"/>
              <w:rPr>
                <w:vertAlign w:val="superscript"/>
              </w:rPr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3" w:history="1">
              <w:r w:rsidRPr="00FD163A">
                <w:rPr>
                  <w:rStyle w:val="a5"/>
                </w:rPr>
                <w:t>&lt;2&gt;</w:t>
              </w:r>
            </w:hyperlink>
            <w:r w:rsidRPr="00FD163A">
              <w:t>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lastRenderedPageBreak/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14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3,08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1,60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15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3,51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2,93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1,60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r w:rsidRPr="00FD163A">
              <w:t>Потребители, приравненные к населению (тарифы указываются с учетом НДС)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</w:pPr>
            <w:r w:rsidRPr="00FD163A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D163A" w:rsidRPr="00FD163A" w:rsidRDefault="00FD163A">
            <w:pPr>
              <w:jc w:val="both"/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6" w:history="1">
              <w:r w:rsidRPr="00FD163A">
                <w:rPr>
                  <w:rStyle w:val="a5"/>
                </w:rPr>
                <w:t>&lt;2&gt;</w:t>
              </w:r>
            </w:hyperlink>
            <w:r w:rsidRPr="00FD163A">
              <w:t>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4.1.2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17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4,28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4.1.3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18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4,88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</w:pPr>
            <w:r w:rsidRPr="00FD163A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D163A" w:rsidRPr="00FD163A" w:rsidRDefault="00FD163A">
            <w:pPr>
              <w:jc w:val="both"/>
              <w:rPr>
                <w:vertAlign w:val="superscript"/>
              </w:rPr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4.2.2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19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4,28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4.2.3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20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4,88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</w:pPr>
            <w:r w:rsidRPr="00FD163A">
              <w:t>Содержащиеся за счет прихожан религиозные организации.</w:t>
            </w:r>
          </w:p>
          <w:p w:rsidR="00FD163A" w:rsidRPr="00FD163A" w:rsidRDefault="00FD163A">
            <w:pPr>
              <w:jc w:val="both"/>
              <w:rPr>
                <w:vertAlign w:val="superscript"/>
              </w:rPr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1" w:history="1">
              <w:r w:rsidRPr="00FD163A">
                <w:rPr>
                  <w:rStyle w:val="a5"/>
                </w:rPr>
                <w:t>&lt;2&gt;</w:t>
              </w:r>
            </w:hyperlink>
            <w:r w:rsidRPr="00FD163A">
              <w:t>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4.3.2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22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4,28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23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4,88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</w:pPr>
            <w:r w:rsidRPr="00FD163A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D163A" w:rsidRPr="00FD163A" w:rsidRDefault="00FD163A">
            <w:pPr>
              <w:jc w:val="both"/>
            </w:pPr>
            <w:r w:rsidRPr="00FD163A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D163A" w:rsidRPr="00FD163A" w:rsidRDefault="00FD163A">
            <w:pPr>
              <w:jc w:val="both"/>
              <w:rPr>
                <w:vertAlign w:val="superscript"/>
              </w:rPr>
            </w:pPr>
            <w:r w:rsidRPr="00FD163A">
              <w:t xml:space="preserve">Гарантирующие поставщики, </w:t>
            </w:r>
            <w:proofErr w:type="spellStart"/>
            <w:r w:rsidRPr="00FD163A">
              <w:t>энергосбытовые</w:t>
            </w:r>
            <w:proofErr w:type="spellEnd"/>
            <w:r w:rsidRPr="00FD163A">
              <w:t xml:space="preserve">, </w:t>
            </w:r>
            <w:proofErr w:type="spellStart"/>
            <w:r w:rsidRPr="00FD163A">
              <w:t>энергоснабжающие</w:t>
            </w:r>
            <w:proofErr w:type="spellEnd"/>
            <w:r w:rsidRPr="00FD163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4" w:history="1">
              <w:r w:rsidRPr="00FD163A">
                <w:rPr>
                  <w:rStyle w:val="a5"/>
                </w:rPr>
                <w:t>&lt;2&gt;</w:t>
              </w:r>
            </w:hyperlink>
            <w:r w:rsidRPr="00FD163A">
              <w:t>.</w:t>
            </w:r>
          </w:p>
        </w:tc>
      </w:tr>
      <w:tr w:rsidR="00FD163A" w:rsidRPr="00FD163A" w:rsidTr="00FD1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4.4.2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двум зонам суток </w:t>
            </w:r>
            <w:hyperlink r:id="rId25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4,28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  <w:tr w:rsidR="00FD163A" w:rsidRPr="00FD163A" w:rsidTr="00FD16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4.4.3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both"/>
              <w:rPr>
                <w:vertAlign w:val="superscript"/>
              </w:rPr>
            </w:pPr>
            <w:proofErr w:type="spellStart"/>
            <w:r w:rsidRPr="00FD163A">
              <w:t>Одноставочный</w:t>
            </w:r>
            <w:proofErr w:type="spellEnd"/>
            <w:r w:rsidRPr="00FD163A">
              <w:t xml:space="preserve"> тариф, дифференцированный по трем зонам суток </w:t>
            </w:r>
            <w:hyperlink r:id="rId26" w:history="1">
              <w:r w:rsidRPr="00FD163A">
                <w:rPr>
                  <w:rStyle w:val="a5"/>
                </w:rPr>
                <w:t>&lt;1&gt;</w:t>
              </w:r>
            </w:hyperlink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4,88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4,07</w:t>
            </w:r>
          </w:p>
        </w:tc>
      </w:tr>
      <w:tr w:rsidR="00FD163A" w:rsidRPr="00FD163A" w:rsidTr="00FD163A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3A" w:rsidRPr="00FD163A" w:rsidRDefault="00FD16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r w:rsidRPr="00FD163A"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руб./</w:t>
            </w:r>
            <w:proofErr w:type="spellStart"/>
            <w:r w:rsidRPr="00FD163A"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3A" w:rsidRPr="00FD163A" w:rsidRDefault="00FD163A">
            <w:pPr>
              <w:jc w:val="center"/>
            </w:pPr>
            <w:r w:rsidRPr="00FD163A">
              <w:t>2,23</w:t>
            </w:r>
          </w:p>
        </w:tc>
      </w:tr>
    </w:tbl>
    <w:p w:rsidR="00FD163A" w:rsidRDefault="00FD163A" w:rsidP="00FD163A">
      <w:pPr>
        <w:tabs>
          <w:tab w:val="left" w:pos="360"/>
        </w:tabs>
        <w:jc w:val="both"/>
        <w:rPr>
          <w:sz w:val="24"/>
          <w:szCs w:val="24"/>
        </w:rPr>
      </w:pPr>
    </w:p>
    <w:p w:rsidR="00FD163A" w:rsidRDefault="00FD163A" w:rsidP="00FD163A">
      <w:pPr>
        <w:tabs>
          <w:tab w:val="left" w:pos="360"/>
        </w:tabs>
        <w:jc w:val="both"/>
      </w:pPr>
      <w:r>
        <w:t>Примечание:</w:t>
      </w:r>
    </w:p>
    <w:p w:rsidR="00FD163A" w:rsidRDefault="00FD163A" w:rsidP="00FD163A">
      <w:pPr>
        <w:tabs>
          <w:tab w:val="left" w:pos="360"/>
        </w:tabs>
        <w:jc w:val="both"/>
      </w:pPr>
      <w:r>
        <w:t>1. Интервалы тарифных зон суток (по месяцам календарного года) утверждаются Федеральной антимонопольной службой.</w:t>
      </w:r>
    </w:p>
    <w:p w:rsidR="00FD163A" w:rsidRDefault="00FD163A" w:rsidP="00FD163A">
      <w:pPr>
        <w:tabs>
          <w:tab w:val="left" w:pos="360"/>
        </w:tabs>
        <w:jc w:val="both"/>
      </w:pPr>
      <w:r>
        <w:t xml:space="preserve">2.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FD163A" w:rsidRDefault="00FD163A" w:rsidP="00FD163A">
      <w:pPr>
        <w:tabs>
          <w:tab w:val="left" w:pos="360"/>
        </w:tabs>
        <w:jc w:val="both"/>
        <w:rPr>
          <w:sz w:val="24"/>
          <w:szCs w:val="24"/>
        </w:rPr>
      </w:pPr>
    </w:p>
    <w:p w:rsidR="00FD163A" w:rsidRDefault="00FD163A" w:rsidP="00FD16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НП «Совет рынка» Кириенко М.Г. по вопросу проголосовала – «против».</w:t>
      </w:r>
    </w:p>
    <w:p w:rsid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163A" w:rsidRDefault="00FD163A" w:rsidP="00FD163A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1 человек, воздержались – 0.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FD163A">
        <w:rPr>
          <w:b/>
          <w:sz w:val="24"/>
          <w:szCs w:val="24"/>
        </w:rPr>
        <w:t xml:space="preserve">По вопросу повестки дня «Об установлении сбытовых надбавок гарантирующего поставщика электрической энергии акционерного общества «Петербургская сбытовая компания», поставляющего электрическую энергию на розничном рынке на территории </w:t>
      </w:r>
      <w:r w:rsidRPr="00FD163A">
        <w:rPr>
          <w:b/>
          <w:sz w:val="24"/>
          <w:szCs w:val="24"/>
        </w:rPr>
        <w:br/>
        <w:t>Ленинградской области в 2018 году»,</w:t>
      </w:r>
      <w:r w:rsidRPr="00FD163A">
        <w:rPr>
          <w:sz w:val="24"/>
          <w:szCs w:val="24"/>
        </w:rPr>
        <w:t xml:space="preserve">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FD163A">
        <w:rPr>
          <w:sz w:val="24"/>
          <w:szCs w:val="24"/>
        </w:rPr>
        <w:t>Малерчук</w:t>
      </w:r>
      <w:proofErr w:type="spellEnd"/>
      <w:r w:rsidRPr="00FD163A">
        <w:rPr>
          <w:sz w:val="24"/>
          <w:szCs w:val="24"/>
        </w:rPr>
        <w:t xml:space="preserve"> И.В., изложила основные положения экспертного заключения по экономически обоснованной величине</w:t>
      </w:r>
      <w:proofErr w:type="gramEnd"/>
      <w:r w:rsidRPr="00FD163A">
        <w:rPr>
          <w:sz w:val="24"/>
          <w:szCs w:val="24"/>
        </w:rPr>
        <w:t xml:space="preserve"> </w:t>
      </w:r>
      <w:proofErr w:type="gramStart"/>
      <w:r w:rsidRPr="00FD163A">
        <w:rPr>
          <w:sz w:val="24"/>
          <w:szCs w:val="24"/>
        </w:rPr>
        <w:t>расходов и прибыли, формирующих сбытовые надбавки гарантирующего поставщика электроэнергии АО «Петербургская сбытовая компания» в 2018 году</w:t>
      </w:r>
      <w:r w:rsidRPr="00FD163A">
        <w:rPr>
          <w:b/>
          <w:sz w:val="24"/>
          <w:szCs w:val="24"/>
        </w:rPr>
        <w:t xml:space="preserve"> </w:t>
      </w:r>
      <w:r w:rsidRPr="00FD163A">
        <w:rPr>
          <w:sz w:val="24"/>
          <w:szCs w:val="24"/>
        </w:rPr>
        <w:t xml:space="preserve">в соответствии с заявлением АО «ПСК» от 28 </w:t>
      </w:r>
      <w:r w:rsidRPr="00FD163A">
        <w:rPr>
          <w:sz w:val="24"/>
          <w:szCs w:val="24"/>
        </w:rPr>
        <w:lastRenderedPageBreak/>
        <w:t>апреля 2017 года № 12536/070 (</w:t>
      </w:r>
      <w:proofErr w:type="spellStart"/>
      <w:r w:rsidRPr="00FD163A">
        <w:rPr>
          <w:sz w:val="24"/>
          <w:szCs w:val="24"/>
        </w:rPr>
        <w:t>вх</w:t>
      </w:r>
      <w:proofErr w:type="spellEnd"/>
      <w:r w:rsidRPr="00FD163A">
        <w:rPr>
          <w:sz w:val="24"/>
          <w:szCs w:val="24"/>
        </w:rPr>
        <w:t>.</w:t>
      </w:r>
      <w:proofErr w:type="gramEnd"/>
      <w:r w:rsidRPr="00FD163A">
        <w:rPr>
          <w:sz w:val="24"/>
          <w:szCs w:val="24"/>
        </w:rPr>
        <w:t>№</w:t>
      </w:r>
      <w:r w:rsidRPr="00FD163A">
        <w:rPr>
          <w:b/>
          <w:sz w:val="28"/>
        </w:rPr>
        <w:t xml:space="preserve"> </w:t>
      </w:r>
      <w:r w:rsidRPr="00FD163A">
        <w:rPr>
          <w:sz w:val="24"/>
          <w:szCs w:val="24"/>
        </w:rPr>
        <w:t xml:space="preserve">№ </w:t>
      </w:r>
      <w:proofErr w:type="gramStart"/>
      <w:r w:rsidRPr="00FD163A">
        <w:rPr>
          <w:sz w:val="24"/>
          <w:szCs w:val="24"/>
        </w:rPr>
        <w:t>КТ-1-2488/17-0-0 от 28.04.2017 г.) с последующими корректировками.</w:t>
      </w:r>
      <w:proofErr w:type="gramEnd"/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  <w:r w:rsidRPr="00FD163A">
        <w:rPr>
          <w:sz w:val="24"/>
          <w:szCs w:val="24"/>
          <w:lang w:eastAsia="ar-SA"/>
        </w:rPr>
        <w:t xml:space="preserve">Генеральный директор АО «ПСК» </w:t>
      </w:r>
      <w:proofErr w:type="spellStart"/>
      <w:r w:rsidRPr="00FD163A">
        <w:rPr>
          <w:sz w:val="24"/>
          <w:szCs w:val="24"/>
          <w:lang w:eastAsia="ar-SA"/>
        </w:rPr>
        <w:t>Шаскольский</w:t>
      </w:r>
      <w:proofErr w:type="spellEnd"/>
      <w:r w:rsidRPr="00FD163A">
        <w:rPr>
          <w:sz w:val="24"/>
          <w:szCs w:val="24"/>
          <w:lang w:eastAsia="ar-SA"/>
        </w:rPr>
        <w:t xml:space="preserve"> Максим Алексеевич - выразил согласие с предложениями по установлению сбытовых надбавок ЛенРТК.</w:t>
      </w:r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b/>
          <w:snapToGrid w:val="0"/>
          <w:sz w:val="24"/>
          <w:szCs w:val="24"/>
        </w:rPr>
      </w:pPr>
      <w:r w:rsidRPr="00FD163A">
        <w:rPr>
          <w:b/>
          <w:snapToGrid w:val="0"/>
          <w:sz w:val="24"/>
          <w:szCs w:val="24"/>
        </w:rPr>
        <w:t>Правление приняло решение:</w:t>
      </w:r>
    </w:p>
    <w:p w:rsidR="00FD163A" w:rsidRPr="00FD163A" w:rsidRDefault="00FD163A" w:rsidP="00FD163A">
      <w:pPr>
        <w:ind w:firstLine="567"/>
        <w:jc w:val="both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 xml:space="preserve">1. Принять для расчета сбытовых надбавок гарантирующего поставщика                                     АО «ПСК» следующие балансовые показатели: </w:t>
      </w:r>
    </w:p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2660"/>
        <w:gridCol w:w="2770"/>
      </w:tblGrid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Тарифная группа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D16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163A">
              <w:rPr>
                <w:color w:val="000000"/>
                <w:sz w:val="22"/>
                <w:szCs w:val="22"/>
              </w:rPr>
              <w:t>/г 2018 (квт*ч)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FD16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163A">
              <w:rPr>
                <w:color w:val="000000"/>
                <w:sz w:val="22"/>
                <w:szCs w:val="22"/>
              </w:rPr>
              <w:t>/г 2018 (квт*ч)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«население» и приравненные к нему категории потребителей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1 228 574 000</w:t>
            </w:r>
          </w:p>
        </w:tc>
        <w:tc>
          <w:tcPr>
            <w:tcW w:w="1311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1 204 426 100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Прочие потребители  всего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2 132 355 900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2 060 518 900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r w:rsidRPr="00FD163A">
              <w:t xml:space="preserve">в том числе: 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right"/>
            </w:pPr>
            <w:r w:rsidRPr="00FD163A">
              <w:t>менее 150 кВт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331 696 900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320 522 400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right"/>
            </w:pPr>
            <w:r w:rsidRPr="00FD163A">
              <w:t>от 150 до 670 кВт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431 336 600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416 805 300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right"/>
            </w:pPr>
            <w:r w:rsidRPr="00FD163A">
              <w:t>от 670 кВт до 10 МВт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631 164 300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609 901 000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right"/>
            </w:pPr>
            <w:r w:rsidRPr="00FD163A">
              <w:t>не менее 10 МВт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738 158 100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713 290 200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735 229 534   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762 318 680   </w:t>
            </w:r>
          </w:p>
        </w:tc>
      </w:tr>
    </w:tbl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-3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516"/>
        <w:gridCol w:w="1879"/>
        <w:gridCol w:w="1879"/>
        <w:gridCol w:w="3244"/>
      </w:tblGrid>
      <w:tr w:rsidR="00FD163A" w:rsidRPr="00FD163A" w:rsidTr="00FD163A">
        <w:trPr>
          <w:trHeight w:val="20"/>
          <w:tblHeader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Наименование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</w:rPr>
            </w:pPr>
            <w:r w:rsidRPr="00FD163A">
              <w:rPr>
                <w:b/>
                <w:bCs/>
              </w:rPr>
              <w:t>Предложения АО «ПСК»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Причины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корректировки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Операционные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736 175 519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736 175 519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Неподконтрольные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76 374 802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61 528 775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Произведена корректировка амортизационных отчислений с учетом максимального срока использования основных средств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формирование резерва по сомнительным долгам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229 694 553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229 694 553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уплату процентов по заемным средствам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43 226 384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43 226 384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Расчетная предпринимательская прибыль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259 402 429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259 402 429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Выпадающие доходы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-29 477 059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-29 477 059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b/>
                <w:color w:val="000000"/>
              </w:rPr>
            </w:pPr>
            <w:r w:rsidRPr="00FD163A">
              <w:rPr>
                <w:b/>
                <w:color w:val="000000"/>
              </w:rPr>
              <w:t>1 315 396 628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b/>
                <w:color w:val="000000"/>
              </w:rPr>
            </w:pPr>
            <w:r w:rsidRPr="00FD163A">
              <w:rPr>
                <w:b/>
                <w:color w:val="000000"/>
              </w:rPr>
              <w:t>1 300 550 600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н</w:t>
            </w:r>
            <w:r w:rsidRPr="00FD163A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518 927 277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518 927 277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t>необходимая валовая выручка по сбытовой надбавке для прочих потребителей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642 820 083  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627 974 055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t xml:space="preserve">необходимая валовая выручка по сбытовой надбавке для </w:t>
            </w:r>
            <w:r w:rsidRPr="00FD163A">
              <w:rPr>
                <w:b/>
                <w:i/>
                <w:sz w:val="28"/>
                <w:szCs w:val="28"/>
              </w:rPr>
              <w:t xml:space="preserve"> </w:t>
            </w:r>
            <w:r w:rsidRPr="00FD163A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153 649 268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153 649 268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163A">
        <w:rPr>
          <w:sz w:val="24"/>
          <w:szCs w:val="24"/>
        </w:rPr>
        <w:t xml:space="preserve">3. Установить с 1 января 2018 года по 31 декабря 2018 года сбытовые надбавки гарантирующего поставщика электрической энергии акционерного общества «Петербургская сбытовая компания», поставляющего электрическую энергию на розничном рынке на территории </w:t>
      </w:r>
      <w:r w:rsidRPr="00FD163A">
        <w:rPr>
          <w:sz w:val="24"/>
          <w:szCs w:val="24"/>
        </w:rPr>
        <w:lastRenderedPageBreak/>
        <w:t>Ленинградской области в следующих размерах:</w:t>
      </w:r>
    </w:p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693"/>
      </w:tblGrid>
      <w:tr w:rsidR="00FD163A" w:rsidRPr="00FD163A" w:rsidTr="00FD163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Наименование гарантирующего поставщика</w:t>
            </w:r>
            <w:r w:rsidRPr="00FD163A"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cantSplit/>
          <w:trHeight w:val="5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Тарифная группа потребителей «население» и приравненные к нему категории потребителей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руб./</w:t>
            </w:r>
            <w:proofErr w:type="spellStart"/>
            <w:r w:rsidRPr="00FD163A">
              <w:t>квт·ч</w:t>
            </w:r>
            <w:proofErr w:type="spellEnd"/>
          </w:p>
        </w:tc>
      </w:tr>
      <w:tr w:rsidR="00FD163A" w:rsidRPr="00FD163A" w:rsidTr="00FD163A">
        <w:trPr>
          <w:cantSplit/>
          <w:trHeight w:val="2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FD163A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Акционерное общество «Петербургская сбытовая компания»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0,18300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0,24418</w:t>
            </w: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2551"/>
      </w:tblGrid>
      <w:tr w:rsidR="00FD163A" w:rsidRPr="00FD163A" w:rsidTr="00FD163A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Наименование гарантирующего поставщика</w:t>
            </w:r>
            <w:r w:rsidRPr="00FD163A">
              <w:br/>
              <w:t>в Ленинградской области</w:t>
            </w: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cantSplit/>
          <w:trHeight w:val="527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руб./</w:t>
            </w:r>
            <w:proofErr w:type="spellStart"/>
            <w:r w:rsidRPr="00FD163A">
              <w:t>квт·ч</w:t>
            </w:r>
            <w:proofErr w:type="spellEnd"/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 полугодие</w:t>
            </w:r>
          </w:p>
        </w:tc>
        <w:tc>
          <w:tcPr>
            <w:tcW w:w="2551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2552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3</w:t>
            </w:r>
          </w:p>
        </w:tc>
        <w:tc>
          <w:tcPr>
            <w:tcW w:w="2551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Акционерное общество «Петербургская сбытовая компания»</w:t>
            </w:r>
          </w:p>
        </w:tc>
        <w:tc>
          <w:tcPr>
            <w:tcW w:w="2552" w:type="dxa"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0,03466</w:t>
            </w:r>
          </w:p>
        </w:tc>
        <w:tc>
          <w:tcPr>
            <w:tcW w:w="2551" w:type="dxa"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0,16813</w:t>
            </w:r>
          </w:p>
        </w:tc>
      </w:tr>
    </w:tbl>
    <w:p w:rsidR="00FD163A" w:rsidRPr="00FD163A" w:rsidRDefault="00FD163A" w:rsidP="00FD163A">
      <w:pPr>
        <w:ind w:firstLine="567"/>
        <w:rPr>
          <w:sz w:val="24"/>
          <w:szCs w:val="24"/>
        </w:rPr>
      </w:pPr>
    </w:p>
    <w:tbl>
      <w:tblPr>
        <w:tblW w:w="13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54"/>
        <w:gridCol w:w="3685"/>
        <w:gridCol w:w="3544"/>
        <w:gridCol w:w="3546"/>
      </w:tblGrid>
      <w:tr w:rsidR="00FD163A" w:rsidRPr="00FD163A" w:rsidTr="00FD163A">
        <w:trPr>
          <w:gridAfter w:val="1"/>
          <w:wAfter w:w="3546" w:type="dxa"/>
          <w:cantSplit/>
          <w:trHeight w:val="1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</w:t>
            </w:r>
            <w:r w:rsidRPr="00FD163A">
              <w:br/>
              <w:t>гарантирующего поставщика в Ленинградской области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4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 xml:space="preserve">Тарифная группа «Прочие потребители» 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2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В виде формулы на розничном рынке на территориях, объединенных в ценовые зоны оптового рынка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3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 полугодие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35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Акционерное общество «Петербургская сбытовая компания»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до 150 кВт  = </w:t>
            </w:r>
            <w:proofErr w:type="spellStart"/>
            <w:r w:rsidRPr="00FD163A">
              <w:t>ДПхКрегхЦ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0,24787</w:t>
            </w:r>
          </w:p>
        </w:tc>
        <w:tc>
          <w:tcPr>
            <w:tcW w:w="3546" w:type="dxa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0,16813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от 150 до 670  кВт= </w:t>
            </w:r>
            <w:proofErr w:type="spellStart"/>
            <w:r w:rsidRPr="00FD163A">
              <w:t>ДПхКрегхЦ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proofErr w:type="spellStart"/>
            <w:r w:rsidRPr="00FD163A">
              <w:t>СНот</w:t>
            </w:r>
            <w:proofErr w:type="spellEnd"/>
            <w:r w:rsidRPr="00FD163A">
              <w:t xml:space="preserve"> 670 кВт до 10 МВт= </w:t>
            </w:r>
            <w:proofErr w:type="spellStart"/>
            <w:r w:rsidRPr="00FD163A">
              <w:t>ДПхКрегхЦ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0,09000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не менее 10 МВт= </w:t>
            </w:r>
            <w:proofErr w:type="spellStart"/>
            <w:r w:rsidRPr="00FD163A">
              <w:t>ДПхКрегхЦ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0,08457</w:t>
            </w:r>
          </w:p>
        </w:tc>
      </w:tr>
    </w:tbl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outlineLvl w:val="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/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</m:eqAr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э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</m:d>
          </m:sup>
        </m:sSubSup>
      </m:oMath>
      <w:r w:rsidRPr="00FD163A">
        <w:rPr>
          <w:sz w:val="24"/>
          <w:szCs w:val="24"/>
        </w:rPr>
        <w:t xml:space="preserve">- </w:t>
      </w:r>
      <w:r w:rsidRPr="00FD163A">
        <w:rPr>
          <w:sz w:val="24"/>
          <w:szCs w:val="24"/>
          <w:lang w:val="en-US"/>
        </w:rPr>
        <w:t>j</w:t>
      </w:r>
      <w:r w:rsidRPr="00FD163A">
        <w:rPr>
          <w:sz w:val="24"/>
          <w:szCs w:val="24"/>
        </w:rPr>
        <w:t>-</w:t>
      </w:r>
      <w:proofErr w:type="spellStart"/>
      <w:r w:rsidRPr="00FD163A">
        <w:rPr>
          <w:sz w:val="24"/>
          <w:szCs w:val="24"/>
        </w:rPr>
        <w:t>ый</w:t>
      </w:r>
      <w:proofErr w:type="spellEnd"/>
      <w:r w:rsidRPr="00FD163A">
        <w:rPr>
          <w:sz w:val="24"/>
          <w:szCs w:val="24"/>
        </w:rPr>
        <w:t xml:space="preserve"> вид цены на электрическую энергию и (или) мощность, руб./ </w:t>
      </w:r>
      <w:proofErr w:type="spellStart"/>
      <w:r w:rsidRPr="00FD163A">
        <w:rPr>
          <w:sz w:val="24"/>
          <w:szCs w:val="24"/>
        </w:rPr>
        <w:t>кВт</w:t>
      </w:r>
      <w:proofErr w:type="gramStart"/>
      <w:r w:rsidRPr="00FD163A">
        <w:rPr>
          <w:sz w:val="24"/>
          <w:szCs w:val="24"/>
        </w:rPr>
        <w:t>.ч</w:t>
      </w:r>
      <w:proofErr w:type="spellEnd"/>
      <w:proofErr w:type="gramEnd"/>
      <w:r w:rsidRPr="00FD163A">
        <w:rPr>
          <w:sz w:val="24"/>
          <w:szCs w:val="24"/>
        </w:rPr>
        <w:t xml:space="preserve"> или руб./кВт, указанный в пункте 16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 октября 2012 года № 703-э</w:t>
      </w:r>
      <w:r w:rsidRPr="00FD163A">
        <w:t xml:space="preserve"> </w:t>
      </w:r>
      <w:r w:rsidRPr="00FD163A">
        <w:rPr>
          <w:sz w:val="24"/>
          <w:szCs w:val="24"/>
        </w:rPr>
        <w:t>(зарегистрировано в Минюсте России 29 ноября 2012 года, регистрационный № 25975);</w:t>
      </w:r>
    </w:p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FD163A">
        <w:rPr>
          <w:sz w:val="24"/>
          <w:szCs w:val="24"/>
        </w:rPr>
        <w:t xml:space="preserve"> - доходность продаж, определяемая в соответствии с Метод</w:t>
      </w:r>
      <w:proofErr w:type="spellStart"/>
      <w:r w:rsidRPr="00FD163A">
        <w:rPr>
          <w:sz w:val="24"/>
          <w:szCs w:val="24"/>
        </w:rPr>
        <w:t>ическими</w:t>
      </w:r>
      <w:proofErr w:type="spellEnd"/>
      <w:r w:rsidRPr="00FD163A">
        <w:rPr>
          <w:sz w:val="24"/>
          <w:szCs w:val="24"/>
        </w:rPr>
        <w:t xml:space="preserve"> указаниями </w:t>
      </w:r>
      <w:r w:rsidRPr="00FD163A">
        <w:rPr>
          <w:sz w:val="24"/>
          <w:szCs w:val="24"/>
        </w:rPr>
        <w:br/>
        <w:t xml:space="preserve">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</w:t>
      </w:r>
      <w:r w:rsidRPr="00FD163A">
        <w:rPr>
          <w:sz w:val="24"/>
          <w:szCs w:val="24"/>
        </w:rPr>
        <w:br/>
        <w:t xml:space="preserve">№ 703-э (зарегистрировано в Минюсте России 29 ноября 2012 года, регистрационный № 25975), </w:t>
      </w:r>
      <w:r w:rsidRPr="00FD163A">
        <w:rPr>
          <w:sz w:val="24"/>
          <w:szCs w:val="24"/>
        </w:rPr>
        <w:br/>
        <w:t xml:space="preserve">и указанная в отношении </w:t>
      </w:r>
      <w:proofErr w:type="spellStart"/>
      <w:r w:rsidRPr="00FD163A">
        <w:rPr>
          <w:sz w:val="24"/>
          <w:szCs w:val="24"/>
          <w:lang w:val="en-US"/>
        </w:rPr>
        <w:t>i</w:t>
      </w:r>
      <w:proofErr w:type="spellEnd"/>
      <w:r w:rsidRPr="00FD163A">
        <w:rPr>
          <w:sz w:val="24"/>
          <w:szCs w:val="24"/>
        </w:rPr>
        <w:t>-ых подгрупп группы «Прочие потребители» в таблице:</w:t>
      </w:r>
    </w:p>
    <w:p w:rsid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sz w:val="24"/>
          <w:szCs w:val="24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2"/>
        <w:gridCol w:w="1985"/>
        <w:gridCol w:w="1984"/>
        <w:gridCol w:w="1800"/>
      </w:tblGrid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</w:t>
            </w:r>
            <w:r w:rsidRPr="00FD163A">
              <w:br/>
              <w:t xml:space="preserve">организации </w:t>
            </w:r>
            <w:r w:rsidRPr="00FD163A">
              <w:br/>
              <w:t>в Ленинградской области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Доходность продаж для группы «Прочие потребители», (ДП)</w:t>
            </w:r>
          </w:p>
        </w:tc>
      </w:tr>
      <w:tr w:rsidR="00FD163A" w:rsidRPr="00FD163A" w:rsidTr="00FD163A">
        <w:trPr>
          <w:cantSplit/>
          <w:trHeight w:val="523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подгруппы потребителей</w:t>
            </w:r>
          </w:p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с максимальной мощностью </w:t>
            </w:r>
            <w:proofErr w:type="spellStart"/>
            <w:r w:rsidRPr="00FD163A">
              <w:t>энергопринимающих</w:t>
            </w:r>
            <w:proofErr w:type="spellEnd"/>
            <w:r w:rsidRPr="00FD163A">
              <w:t xml:space="preserve"> устройств</w:t>
            </w:r>
          </w:p>
        </w:tc>
      </w:tr>
      <w:tr w:rsidR="00FD163A" w:rsidRPr="00FD163A" w:rsidTr="00FD163A">
        <w:trPr>
          <w:cantSplit/>
          <w:trHeight w:val="46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менее 150 кВт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от 150 до 670 кВт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от 670 кВт до 10 МВт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</w:rPr>
            </w:pPr>
            <w:r w:rsidRPr="00FD163A">
              <w:t>не менее 10 МВт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FD163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6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FD163A">
              <w:rPr>
                <w:sz w:val="22"/>
                <w:szCs w:val="22"/>
              </w:rPr>
              <w:t>Акционерное общество «Петербургская сбытовая компания»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14,98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13,90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9,55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5,65</w:t>
            </w:r>
          </w:p>
        </w:tc>
      </w:tr>
    </w:tbl>
    <w:p w:rsidR="00FD163A" w:rsidRPr="00FD163A" w:rsidRDefault="00FD163A" w:rsidP="00FD1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163A" w:rsidRPr="00FD163A" w:rsidRDefault="00FD163A" w:rsidP="00FD1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рег</m:t>
            </m:r>
          </m:sup>
        </m:sSubSup>
      </m:oMath>
      <w:r w:rsidRPr="00FD163A">
        <w:rPr>
          <w:sz w:val="24"/>
          <w:szCs w:val="24"/>
        </w:rPr>
        <w:t xml:space="preserve"> - 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№ 703-э (зарегистрировано в Минюсте России 29 ноября 2012 года, регистрационный № 25975), и указанный в отношении группы «Прочие потребители» </w:t>
      </w:r>
      <w:r w:rsidRPr="00FD163A">
        <w:rPr>
          <w:sz w:val="24"/>
          <w:szCs w:val="24"/>
        </w:rPr>
        <w:br/>
        <w:t>k-</w:t>
      </w:r>
      <w:proofErr w:type="spellStart"/>
      <w:r w:rsidRPr="00FD163A">
        <w:rPr>
          <w:sz w:val="24"/>
          <w:szCs w:val="24"/>
        </w:rPr>
        <w:t>го</w:t>
      </w:r>
      <w:proofErr w:type="spellEnd"/>
      <w:r w:rsidRPr="00FD163A">
        <w:rPr>
          <w:sz w:val="24"/>
          <w:szCs w:val="24"/>
        </w:rPr>
        <w:t xml:space="preserve"> ГП в таблице:</w:t>
      </w:r>
    </w:p>
    <w:p w:rsidR="00FD163A" w:rsidRPr="00FD163A" w:rsidRDefault="00FD163A" w:rsidP="00FD163A">
      <w:pPr>
        <w:spacing w:line="240" w:lineRule="atLeast"/>
        <w:ind w:firstLine="360"/>
        <w:contextualSpacing/>
        <w:jc w:val="both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FD163A" w:rsidRPr="00FD163A" w:rsidTr="00FD163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 организации в Ленинградской области</w:t>
            </w:r>
            <w:r w:rsidRPr="00FD163A"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Коэффициент параметров деятельности гарантирующего поставщика, (</w:t>
            </w:r>
            <w:proofErr w:type="spellStart"/>
            <w:r w:rsidRPr="00FD163A">
              <w:t>К</w:t>
            </w:r>
            <w:r w:rsidRPr="00FD163A">
              <w:rPr>
                <w:vertAlign w:val="superscript"/>
              </w:rPr>
              <w:t>рег</w:t>
            </w:r>
            <w:proofErr w:type="spellEnd"/>
            <w:r w:rsidRPr="00FD163A">
              <w:t>)</w:t>
            </w:r>
          </w:p>
        </w:tc>
      </w:tr>
      <w:tr w:rsidR="00FD163A" w:rsidRPr="00FD163A" w:rsidTr="00FD163A">
        <w:trPr>
          <w:cantSplit/>
          <w:trHeight w:val="2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1 полугодие</w:t>
            </w:r>
          </w:p>
        </w:tc>
      </w:tr>
      <w:tr w:rsidR="00FD163A" w:rsidRPr="00FD163A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</w:tr>
      <w:tr w:rsidR="00FD163A" w:rsidRPr="00FD163A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Акционерное общество «Петербургская сбытовая компания»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0,69</w:t>
            </w:r>
          </w:p>
        </w:tc>
      </w:tr>
    </w:tbl>
    <w:p w:rsidR="00FD163A" w:rsidRDefault="00FD163A" w:rsidP="00FD163A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FD163A">
        <w:rPr>
          <w:sz w:val="24"/>
          <w:szCs w:val="24"/>
        </w:rPr>
        <w:t>Представитель НП «Совет рынка» Кириенко М.Г. по вопросу – «воздержалась».</w:t>
      </w:r>
    </w:p>
    <w:p w:rsidR="00FD163A" w:rsidRPr="00FD163A" w:rsidRDefault="00FD163A" w:rsidP="00FD163A">
      <w:pPr>
        <w:tabs>
          <w:tab w:val="left" w:pos="360"/>
          <w:tab w:val="left" w:pos="3268"/>
        </w:tabs>
        <w:ind w:firstLine="567"/>
        <w:jc w:val="both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ab/>
      </w:r>
    </w:p>
    <w:p w:rsidR="00FD163A" w:rsidRPr="00FD163A" w:rsidRDefault="00FD163A" w:rsidP="00FD163A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>Результаты  голосования: за – 6 человек, против – 0, воздержались – 1 человек.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gramStart"/>
      <w:r w:rsidRPr="00FD163A">
        <w:rPr>
          <w:b/>
          <w:sz w:val="24"/>
          <w:szCs w:val="24"/>
        </w:rPr>
        <w:t>По вопросу повестки дня «Об установлении сбытовых надбавок гарантирующего поставщика электрической энергии общество с ограниченной ответственностью «РКС-</w:t>
      </w:r>
      <w:proofErr w:type="spellStart"/>
      <w:r w:rsidRPr="00FD163A">
        <w:rPr>
          <w:b/>
          <w:sz w:val="24"/>
          <w:szCs w:val="24"/>
        </w:rPr>
        <w:t>энерго</w:t>
      </w:r>
      <w:proofErr w:type="spellEnd"/>
      <w:r w:rsidRPr="00FD163A">
        <w:rPr>
          <w:b/>
          <w:sz w:val="24"/>
          <w:szCs w:val="24"/>
        </w:rPr>
        <w:t xml:space="preserve">», поставляющего электрическую энергию на розничном рынке на территории </w:t>
      </w:r>
      <w:r w:rsidRPr="00FD163A">
        <w:rPr>
          <w:b/>
          <w:sz w:val="24"/>
          <w:szCs w:val="24"/>
        </w:rPr>
        <w:br/>
        <w:t>Ленинградской области в 2018 году»,</w:t>
      </w:r>
      <w:r w:rsidRPr="00FD163A">
        <w:rPr>
          <w:sz w:val="24"/>
          <w:szCs w:val="24"/>
        </w:rPr>
        <w:t xml:space="preserve">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FD163A">
        <w:rPr>
          <w:sz w:val="24"/>
          <w:szCs w:val="24"/>
        </w:rPr>
        <w:t>Малерчук</w:t>
      </w:r>
      <w:proofErr w:type="spellEnd"/>
      <w:r w:rsidRPr="00FD163A">
        <w:rPr>
          <w:sz w:val="24"/>
          <w:szCs w:val="24"/>
        </w:rPr>
        <w:t xml:space="preserve"> И.В., изложила основные положения экспертного заключения по экономически обоснованной величине</w:t>
      </w:r>
      <w:proofErr w:type="gramEnd"/>
      <w:r w:rsidRPr="00FD163A">
        <w:rPr>
          <w:sz w:val="24"/>
          <w:szCs w:val="24"/>
        </w:rPr>
        <w:t xml:space="preserve"> </w:t>
      </w:r>
      <w:proofErr w:type="gramStart"/>
      <w:r w:rsidRPr="00FD163A">
        <w:rPr>
          <w:sz w:val="24"/>
          <w:szCs w:val="24"/>
        </w:rPr>
        <w:t>расходов и прибыли, формирующих сбытовые надбавки гарантирующего поставщика электроэнергии ООО  «РКС-</w:t>
      </w:r>
      <w:proofErr w:type="spellStart"/>
      <w:r w:rsidRPr="00FD163A">
        <w:rPr>
          <w:sz w:val="24"/>
          <w:szCs w:val="24"/>
        </w:rPr>
        <w:t>энерго</w:t>
      </w:r>
      <w:proofErr w:type="spellEnd"/>
      <w:r w:rsidRPr="00FD163A">
        <w:rPr>
          <w:sz w:val="24"/>
          <w:szCs w:val="24"/>
        </w:rPr>
        <w:t>» в 2018 году</w:t>
      </w:r>
      <w:r w:rsidRPr="00FD163A">
        <w:rPr>
          <w:b/>
          <w:sz w:val="24"/>
          <w:szCs w:val="24"/>
        </w:rPr>
        <w:t xml:space="preserve"> </w:t>
      </w:r>
      <w:r w:rsidRPr="00FD163A">
        <w:rPr>
          <w:sz w:val="24"/>
          <w:szCs w:val="24"/>
        </w:rPr>
        <w:t>в соответствии с заявлением ООО «РКС-</w:t>
      </w:r>
      <w:proofErr w:type="spellStart"/>
      <w:r w:rsidRPr="00FD163A">
        <w:rPr>
          <w:sz w:val="24"/>
          <w:szCs w:val="24"/>
        </w:rPr>
        <w:t>энерго</w:t>
      </w:r>
      <w:proofErr w:type="spellEnd"/>
      <w:r w:rsidRPr="00FD163A">
        <w:rPr>
          <w:sz w:val="24"/>
          <w:szCs w:val="24"/>
        </w:rPr>
        <w:t>» от 28 апреля 2017 года № 557 (</w:t>
      </w:r>
      <w:proofErr w:type="spellStart"/>
      <w:r w:rsidRPr="00FD163A">
        <w:rPr>
          <w:sz w:val="24"/>
          <w:szCs w:val="24"/>
        </w:rPr>
        <w:t>вх</w:t>
      </w:r>
      <w:proofErr w:type="spellEnd"/>
      <w:r w:rsidRPr="00FD163A">
        <w:rPr>
          <w:sz w:val="24"/>
          <w:szCs w:val="24"/>
        </w:rPr>
        <w:t>.</w:t>
      </w:r>
      <w:proofErr w:type="gramEnd"/>
      <w:r w:rsidRPr="00FD163A">
        <w:rPr>
          <w:sz w:val="24"/>
          <w:szCs w:val="24"/>
        </w:rPr>
        <w:t xml:space="preserve"> №</w:t>
      </w:r>
      <w:r w:rsidRPr="00FD163A">
        <w:rPr>
          <w:b/>
          <w:sz w:val="28"/>
        </w:rPr>
        <w:t xml:space="preserve"> </w:t>
      </w:r>
      <w:r w:rsidRPr="00FD163A">
        <w:rPr>
          <w:sz w:val="24"/>
          <w:szCs w:val="24"/>
        </w:rPr>
        <w:t xml:space="preserve">№ </w:t>
      </w:r>
      <w:proofErr w:type="gramStart"/>
      <w:r w:rsidRPr="00FD163A">
        <w:rPr>
          <w:sz w:val="24"/>
          <w:szCs w:val="24"/>
        </w:rPr>
        <w:t>КТ-1-2537/17-0-0 от 28.04.2017).</w:t>
      </w:r>
      <w:proofErr w:type="gramEnd"/>
    </w:p>
    <w:p w:rsidR="00FD163A" w:rsidRPr="00FD163A" w:rsidRDefault="00FD163A" w:rsidP="00FD163A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FD163A">
        <w:rPr>
          <w:sz w:val="24"/>
          <w:szCs w:val="24"/>
          <w:lang w:eastAsia="ar-SA"/>
        </w:rPr>
        <w:t>Присутствующие на заседании Правления ЛенРТК представители ООО «РКС-</w:t>
      </w:r>
      <w:proofErr w:type="spellStart"/>
      <w:r w:rsidRPr="00FD163A">
        <w:rPr>
          <w:sz w:val="24"/>
          <w:szCs w:val="24"/>
          <w:lang w:eastAsia="ar-SA"/>
        </w:rPr>
        <w:t>энерго</w:t>
      </w:r>
      <w:proofErr w:type="spellEnd"/>
      <w:r w:rsidRPr="00FD163A">
        <w:rPr>
          <w:sz w:val="24"/>
          <w:szCs w:val="24"/>
          <w:lang w:eastAsia="ar-SA"/>
        </w:rPr>
        <w:t>» Пономарев Константин Александрович (доверенность № 258/2017 от 25.12.2017) и Сорокин Игорь Игоревич (доверенность№ 258/2017 от 25.12.2017) заявили о возможности возникновения у ООО «РКС-</w:t>
      </w:r>
      <w:proofErr w:type="spellStart"/>
      <w:r w:rsidRPr="00FD163A">
        <w:rPr>
          <w:sz w:val="24"/>
          <w:szCs w:val="24"/>
          <w:lang w:eastAsia="ar-SA"/>
        </w:rPr>
        <w:t>энерго</w:t>
      </w:r>
      <w:proofErr w:type="spellEnd"/>
      <w:r w:rsidRPr="00FD163A">
        <w:rPr>
          <w:sz w:val="24"/>
          <w:szCs w:val="24"/>
          <w:lang w:eastAsia="ar-SA"/>
        </w:rPr>
        <w:t>» дополнительных выпадающих доходов, вызванных тем, что при расчете сбытовых надбавок использованы плановые величины единых котловых тарифов на услуги по передаче электрической энергии и индикативных цен на покупку электрической</w:t>
      </w:r>
      <w:proofErr w:type="gramEnd"/>
      <w:r w:rsidRPr="00FD163A">
        <w:rPr>
          <w:sz w:val="24"/>
          <w:szCs w:val="24"/>
          <w:lang w:eastAsia="ar-SA"/>
        </w:rPr>
        <w:t xml:space="preserve"> энергии (мощности).</w:t>
      </w:r>
    </w:p>
    <w:p w:rsidR="00FD163A" w:rsidRPr="00FD163A" w:rsidRDefault="00FD163A" w:rsidP="00FD163A">
      <w:pPr>
        <w:ind w:firstLine="567"/>
        <w:jc w:val="both"/>
        <w:rPr>
          <w:sz w:val="24"/>
          <w:szCs w:val="24"/>
          <w:lang w:eastAsia="ar-SA"/>
        </w:rPr>
      </w:pPr>
      <w:r w:rsidRPr="00FD163A">
        <w:rPr>
          <w:sz w:val="24"/>
          <w:szCs w:val="24"/>
          <w:lang w:eastAsia="ar-SA"/>
        </w:rPr>
        <w:t>Кийски Артур Валтерович пояснил, что результаты деятельност</w:t>
      </w:r>
      <w:proofErr w:type="gramStart"/>
      <w:r w:rsidRPr="00FD163A">
        <w:rPr>
          <w:sz w:val="24"/>
          <w:szCs w:val="24"/>
          <w:lang w:eastAsia="ar-SA"/>
        </w:rPr>
        <w:t>и ООО</w:t>
      </w:r>
      <w:proofErr w:type="gramEnd"/>
      <w:r w:rsidRPr="00FD163A">
        <w:rPr>
          <w:sz w:val="24"/>
          <w:szCs w:val="24"/>
          <w:lang w:eastAsia="ar-SA"/>
        </w:rPr>
        <w:t xml:space="preserve"> «РКС-</w:t>
      </w:r>
      <w:proofErr w:type="spellStart"/>
      <w:r w:rsidRPr="00FD163A">
        <w:rPr>
          <w:sz w:val="24"/>
          <w:szCs w:val="24"/>
          <w:lang w:eastAsia="ar-SA"/>
        </w:rPr>
        <w:t>энерго</w:t>
      </w:r>
      <w:proofErr w:type="spellEnd"/>
      <w:r w:rsidRPr="00FD163A">
        <w:rPr>
          <w:sz w:val="24"/>
          <w:szCs w:val="24"/>
          <w:lang w:eastAsia="ar-SA"/>
        </w:rPr>
        <w:t>» по итогам 2018 года будут рассмотрены в следующих периодах регулирования.</w:t>
      </w:r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b/>
          <w:snapToGrid w:val="0"/>
          <w:sz w:val="24"/>
          <w:szCs w:val="24"/>
        </w:rPr>
      </w:pPr>
      <w:r w:rsidRPr="00FD163A">
        <w:rPr>
          <w:b/>
          <w:snapToGrid w:val="0"/>
          <w:sz w:val="24"/>
          <w:szCs w:val="24"/>
        </w:rPr>
        <w:t>Правление приняло решение:</w:t>
      </w:r>
    </w:p>
    <w:p w:rsidR="00FD163A" w:rsidRPr="00FD163A" w:rsidRDefault="00FD163A" w:rsidP="00FD163A">
      <w:pPr>
        <w:ind w:firstLine="567"/>
        <w:jc w:val="both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>1. Принять для расчета сбытовых надбавок гарантирующего поставщик</w:t>
      </w:r>
      <w:proofErr w:type="gramStart"/>
      <w:r w:rsidRPr="00FD163A">
        <w:rPr>
          <w:snapToGrid w:val="0"/>
          <w:sz w:val="24"/>
          <w:szCs w:val="24"/>
        </w:rPr>
        <w:t xml:space="preserve">а                                     </w:t>
      </w:r>
      <w:r w:rsidRPr="00FD163A">
        <w:rPr>
          <w:sz w:val="24"/>
          <w:szCs w:val="24"/>
          <w:lang w:eastAsia="ar-SA"/>
        </w:rPr>
        <w:t>ООО</w:t>
      </w:r>
      <w:proofErr w:type="gramEnd"/>
      <w:r w:rsidRPr="00FD163A">
        <w:rPr>
          <w:sz w:val="24"/>
          <w:szCs w:val="24"/>
          <w:lang w:eastAsia="ar-SA"/>
        </w:rPr>
        <w:t xml:space="preserve"> «РКС-</w:t>
      </w:r>
      <w:proofErr w:type="spellStart"/>
      <w:r w:rsidRPr="00FD163A">
        <w:rPr>
          <w:sz w:val="24"/>
          <w:szCs w:val="24"/>
          <w:lang w:eastAsia="ar-SA"/>
        </w:rPr>
        <w:t>энерго</w:t>
      </w:r>
      <w:proofErr w:type="spellEnd"/>
      <w:r w:rsidRPr="00FD163A">
        <w:rPr>
          <w:sz w:val="24"/>
          <w:szCs w:val="24"/>
          <w:lang w:eastAsia="ar-SA"/>
        </w:rPr>
        <w:t xml:space="preserve">» </w:t>
      </w:r>
      <w:r w:rsidRPr="00FD163A">
        <w:rPr>
          <w:snapToGrid w:val="0"/>
          <w:sz w:val="24"/>
          <w:szCs w:val="24"/>
        </w:rPr>
        <w:t xml:space="preserve">следующие балансовые показатели: </w:t>
      </w:r>
    </w:p>
    <w:p w:rsidR="00FD163A" w:rsidRPr="00FD163A" w:rsidRDefault="00FD163A" w:rsidP="00FD163A">
      <w:pPr>
        <w:ind w:firstLine="567"/>
        <w:jc w:val="right"/>
        <w:rPr>
          <w:snapToGrid w:val="0"/>
          <w:sz w:val="24"/>
          <w:szCs w:val="24"/>
        </w:rPr>
      </w:pPr>
      <w:proofErr w:type="spellStart"/>
      <w:r w:rsidRPr="00FD163A">
        <w:rPr>
          <w:snapToGrid w:val="0"/>
          <w:sz w:val="24"/>
          <w:szCs w:val="24"/>
        </w:rPr>
        <w:t>кВт</w:t>
      </w:r>
      <w:proofErr w:type="gramStart"/>
      <w:r w:rsidRPr="00FD163A">
        <w:rPr>
          <w:snapToGrid w:val="0"/>
          <w:sz w:val="24"/>
          <w:szCs w:val="24"/>
        </w:rPr>
        <w:t>.ч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2660"/>
        <w:gridCol w:w="2770"/>
      </w:tblGrid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Тарифная группа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D16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163A">
              <w:rPr>
                <w:color w:val="000000"/>
                <w:sz w:val="22"/>
                <w:szCs w:val="22"/>
              </w:rPr>
              <w:t>/г 2018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FD16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163A">
              <w:rPr>
                <w:color w:val="000000"/>
                <w:sz w:val="22"/>
                <w:szCs w:val="22"/>
              </w:rPr>
              <w:t>/г 2018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«население» и приравненные к нему категории потребителей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513 546 500 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513 172 400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Прочие потребители, всего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714 619 545</w:t>
            </w:r>
          </w:p>
        </w:tc>
        <w:tc>
          <w:tcPr>
            <w:tcW w:w="1311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693 350 467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r w:rsidRPr="00FD163A">
              <w:t>в том числе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right"/>
            </w:pPr>
            <w:r w:rsidRPr="00FD163A">
              <w:lastRenderedPageBreak/>
              <w:t>менее 150 кВт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267 379 328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260 735 536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right"/>
            </w:pPr>
            <w:r w:rsidRPr="00FD163A">
              <w:t>от 150 до 670 кВт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242 203 195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223 297 211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right"/>
            </w:pPr>
            <w:r w:rsidRPr="00FD163A">
              <w:t>от 670 кВт до 10 МВт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157 550 541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163 268 872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right"/>
            </w:pPr>
            <w:r w:rsidRPr="00FD163A">
              <w:t>не менее 10 МВт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47 486 482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46 048 848</w:t>
            </w:r>
          </w:p>
        </w:tc>
      </w:tr>
      <w:tr w:rsidR="00FD163A" w:rsidRPr="00FD163A" w:rsidTr="00FD163A">
        <w:trPr>
          <w:trHeight w:val="300"/>
        </w:trPr>
        <w:tc>
          <w:tcPr>
            <w:tcW w:w="2430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>193 288 667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  <w:r w:rsidRPr="00FD163A">
              <w:rPr>
                <w:color w:val="000000"/>
                <w:sz w:val="22"/>
                <w:szCs w:val="22"/>
              </w:rPr>
              <w:t xml:space="preserve">177 708 521 </w:t>
            </w:r>
          </w:p>
          <w:p w:rsidR="00FD163A" w:rsidRPr="00FD163A" w:rsidRDefault="00FD163A" w:rsidP="00FD16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tbl>
      <w:tblPr>
        <w:tblpPr w:leftFromText="180" w:rightFromText="180" w:vertAnchor="text" w:horzAnchor="margin" w:tblpX="-3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516"/>
        <w:gridCol w:w="1879"/>
        <w:gridCol w:w="1879"/>
        <w:gridCol w:w="3244"/>
      </w:tblGrid>
      <w:tr w:rsidR="00FD163A" w:rsidRPr="00FD163A" w:rsidTr="00FD163A">
        <w:trPr>
          <w:trHeight w:val="20"/>
          <w:tblHeader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Наименование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</w:rPr>
            </w:pPr>
            <w:r w:rsidRPr="00FD163A">
              <w:rPr>
                <w:b/>
                <w:bCs/>
              </w:rPr>
              <w:t xml:space="preserve">Предложения </w:t>
            </w:r>
            <w:r w:rsidRPr="00FD163A">
              <w:t xml:space="preserve"> </w:t>
            </w:r>
            <w:r w:rsidRPr="00FD163A">
              <w:rPr>
                <w:b/>
                <w:bCs/>
              </w:rPr>
              <w:t>ООО «РКС-</w:t>
            </w:r>
            <w:proofErr w:type="spellStart"/>
            <w:r w:rsidRPr="00FD163A">
              <w:rPr>
                <w:b/>
                <w:bCs/>
              </w:rPr>
              <w:t>энерго</w:t>
            </w:r>
            <w:proofErr w:type="spellEnd"/>
            <w:r w:rsidRPr="00FD163A">
              <w:rPr>
                <w:b/>
                <w:bCs/>
              </w:rPr>
              <w:t>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Причины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корректировки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Операционные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524 951 913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524 951 913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Неподконтрольные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  <w:p w:rsidR="00FD163A" w:rsidRPr="00FD163A" w:rsidRDefault="00FD163A" w:rsidP="00FD163A">
            <w:pPr>
              <w:jc w:val="center"/>
              <w:rPr>
                <w:color w:val="000000"/>
              </w:rPr>
            </w:pPr>
            <w:r w:rsidRPr="00FD163A">
              <w:rPr>
                <w:color w:val="000000"/>
              </w:rPr>
              <w:t>7 174 473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rPr>
                <w:color w:val="000000"/>
              </w:rPr>
              <w:t>4 232 002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Произведена корректировка амортизационных отчислений с учетом максимального срока использования основных средств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формирование резерва по сомнительным долгам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0,00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0,00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уплату процентов по заемным средствам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6 926 086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6 926 086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Расчетная предпринимательская прибыль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86 742 061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86 742 061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Выпадающие доходы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40 182 596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40 182 596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666 013 766</w:t>
            </w:r>
          </w:p>
          <w:p w:rsidR="00FD163A" w:rsidRPr="00FD163A" w:rsidRDefault="00FD163A" w:rsidP="00FD1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663 071 294</w:t>
            </w:r>
          </w:p>
          <w:p w:rsidR="00FD163A" w:rsidRPr="00FD163A" w:rsidRDefault="00FD163A" w:rsidP="00FD1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н</w:t>
            </w:r>
            <w:r w:rsidRPr="00FD163A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422 018 852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422 018 852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t>необходимая валовая выручка по сбытовой надбавке для прочих потребителей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169 910 261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166 967 789 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t xml:space="preserve">необходимая валовая выручка по сбытовой надбавке для </w:t>
            </w:r>
            <w:r w:rsidRPr="00FD163A">
              <w:rPr>
                <w:b/>
                <w:i/>
                <w:sz w:val="28"/>
                <w:szCs w:val="28"/>
              </w:rPr>
              <w:t xml:space="preserve"> </w:t>
            </w:r>
            <w:r w:rsidRPr="00FD163A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74 084 653 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74 084 653 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163A">
        <w:rPr>
          <w:sz w:val="24"/>
          <w:szCs w:val="24"/>
        </w:rPr>
        <w:t>3. Установить с 1 января 2018 года по 31 декабря 2018 года сбытовые надбавки гарантирующего поставщика электрической энергии общества с ограниченной ответственностью «ООО «РКС-</w:t>
      </w:r>
      <w:proofErr w:type="spellStart"/>
      <w:r w:rsidRPr="00FD163A">
        <w:rPr>
          <w:sz w:val="24"/>
          <w:szCs w:val="24"/>
        </w:rPr>
        <w:t>энерго</w:t>
      </w:r>
      <w:proofErr w:type="spellEnd"/>
      <w:r w:rsidRPr="00FD163A">
        <w:rPr>
          <w:sz w:val="24"/>
          <w:szCs w:val="24"/>
        </w:rPr>
        <w:t>», поставляющего электрическую энергию на розничном рынке на территории Ленинградской области в следующих размерах:</w:t>
      </w:r>
    </w:p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693"/>
      </w:tblGrid>
      <w:tr w:rsidR="00FD163A" w:rsidRPr="00FD163A" w:rsidTr="00FD163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Наименование гарантирующего поставщика</w:t>
            </w:r>
            <w:r w:rsidRPr="00FD163A"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cantSplit/>
          <w:trHeight w:val="5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Тарифная группа потребителей «население» и приравненные к нему категории потребителей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руб./</w:t>
            </w:r>
            <w:proofErr w:type="spellStart"/>
            <w:r w:rsidRPr="00FD163A">
              <w:t>квт·ч</w:t>
            </w:r>
            <w:proofErr w:type="spellEnd"/>
          </w:p>
        </w:tc>
      </w:tr>
      <w:tr w:rsidR="00FD163A" w:rsidRPr="00FD163A" w:rsidTr="00FD163A">
        <w:trPr>
          <w:cantSplit/>
          <w:trHeight w:val="2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cantSplit/>
          <w:trHeight w:val="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FD163A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Общество с ограниченной ответственностью «ООО «РКС-</w:t>
            </w:r>
            <w:proofErr w:type="spellStart"/>
            <w:r w:rsidRPr="00FD163A">
              <w:t>энерго</w:t>
            </w:r>
            <w:proofErr w:type="spellEnd"/>
            <w:r w:rsidRPr="00FD163A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0,23968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0,58252</w:t>
            </w: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2551"/>
      </w:tblGrid>
      <w:tr w:rsidR="00FD163A" w:rsidRPr="00FD163A" w:rsidTr="00FD163A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Наименование гарантирующего поставщика</w:t>
            </w:r>
            <w:r w:rsidRPr="00FD163A">
              <w:br/>
              <w:t>в Ленинградской области</w:t>
            </w: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cantSplit/>
          <w:trHeight w:val="527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FD163A"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руб./</w:t>
            </w:r>
            <w:proofErr w:type="spellStart"/>
            <w:r w:rsidRPr="00FD163A">
              <w:t>квт·ч</w:t>
            </w:r>
            <w:proofErr w:type="spellEnd"/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 полугодие</w:t>
            </w:r>
          </w:p>
        </w:tc>
        <w:tc>
          <w:tcPr>
            <w:tcW w:w="2551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2552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3</w:t>
            </w:r>
          </w:p>
        </w:tc>
        <w:tc>
          <w:tcPr>
            <w:tcW w:w="2551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4536" w:type="dxa"/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Общество с ограниченной ответственностью «ООО «РКС-</w:t>
            </w:r>
            <w:proofErr w:type="spellStart"/>
            <w:r w:rsidRPr="00FD163A">
              <w:t>энерго</w:t>
            </w:r>
            <w:proofErr w:type="spellEnd"/>
            <w:r w:rsidRPr="00FD163A">
              <w:t>»</w:t>
            </w:r>
          </w:p>
        </w:tc>
        <w:tc>
          <w:tcPr>
            <w:tcW w:w="2552" w:type="dxa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0,22936</w:t>
            </w:r>
          </w:p>
        </w:tc>
        <w:tc>
          <w:tcPr>
            <w:tcW w:w="2551" w:type="dxa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FD163A">
              <w:t>0,16742</w:t>
            </w:r>
          </w:p>
        </w:tc>
      </w:tr>
    </w:tbl>
    <w:p w:rsidR="00FD163A" w:rsidRDefault="00FD163A" w:rsidP="00FD163A">
      <w:pPr>
        <w:ind w:firstLine="567"/>
        <w:rPr>
          <w:sz w:val="24"/>
          <w:szCs w:val="24"/>
        </w:rPr>
      </w:pPr>
    </w:p>
    <w:tbl>
      <w:tblPr>
        <w:tblW w:w="13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54"/>
        <w:gridCol w:w="3685"/>
        <w:gridCol w:w="3544"/>
        <w:gridCol w:w="3546"/>
      </w:tblGrid>
      <w:tr w:rsidR="00FD163A" w:rsidRPr="00FD163A" w:rsidTr="00FD163A">
        <w:trPr>
          <w:gridAfter w:val="1"/>
          <w:wAfter w:w="3546" w:type="dxa"/>
          <w:cantSplit/>
          <w:trHeight w:val="1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</w:t>
            </w:r>
            <w:r w:rsidRPr="00FD163A">
              <w:br/>
              <w:t>гарантирующего поставщика в Ленинградской области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4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 xml:space="preserve">Тарифная группа «Прочие потребители» 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2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В виде формулы на розничном рынке на территориях, объединенных в ценовые зоны оптового рынка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3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 полугодие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5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Общество с ограниченной ответственностью «ООО «РКС-</w:t>
            </w:r>
            <w:proofErr w:type="spellStart"/>
            <w:r w:rsidRPr="00FD163A">
              <w:t>энерго</w:t>
            </w:r>
            <w:proofErr w:type="spellEnd"/>
            <w:r w:rsidRPr="00FD163A"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до 150 кВт</w:t>
            </w:r>
            <w:r w:rsidRPr="00FD163A">
              <w:t xml:space="preserve">  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  <w:rPr>
                <w:sz w:val="16"/>
                <w:szCs w:val="16"/>
              </w:rPr>
            </w:pPr>
            <w:r w:rsidRPr="00FD163A">
              <w:rPr>
                <w:sz w:val="16"/>
                <w:szCs w:val="16"/>
              </w:rPr>
              <w:t>0,29738</w:t>
            </w:r>
          </w:p>
        </w:tc>
        <w:tc>
          <w:tcPr>
            <w:tcW w:w="3546" w:type="dxa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</w:rPr>
            </w:pPr>
            <w:r w:rsidRPr="00FD163A">
              <w:rPr>
                <w:sz w:val="18"/>
                <w:szCs w:val="18"/>
              </w:rPr>
              <w:t>0,16813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5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от 150 до 670  кВт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</w:tr>
      <w:tr w:rsidR="00FD163A" w:rsidRPr="00FD163A" w:rsidTr="00FD163A">
        <w:trPr>
          <w:gridAfter w:val="1"/>
          <w:wAfter w:w="3546" w:type="dxa"/>
          <w:cantSplit/>
          <w:trHeight w:val="5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proofErr w:type="spellStart"/>
            <w:r w:rsidRPr="00FD163A">
              <w:t>СН</w:t>
            </w:r>
            <w:r w:rsidRPr="00FD163A">
              <w:rPr>
                <w:sz w:val="16"/>
                <w:szCs w:val="16"/>
              </w:rPr>
              <w:t>от</w:t>
            </w:r>
            <w:proofErr w:type="spellEnd"/>
            <w:r w:rsidRPr="00FD163A">
              <w:rPr>
                <w:sz w:val="16"/>
                <w:szCs w:val="16"/>
              </w:rPr>
              <w:t xml:space="preserve"> 670 кВт до 10 МВт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  <w:rPr>
                <w:sz w:val="16"/>
                <w:szCs w:val="16"/>
              </w:rPr>
            </w:pPr>
            <w:r w:rsidRPr="00FD163A">
              <w:rPr>
                <w:sz w:val="16"/>
                <w:szCs w:val="16"/>
              </w:rPr>
              <w:t>0,10913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5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не менее 10 МВт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  <w:rPr>
                <w:sz w:val="16"/>
                <w:szCs w:val="16"/>
              </w:rPr>
            </w:pPr>
            <w:r w:rsidRPr="00FD163A">
              <w:rPr>
                <w:sz w:val="16"/>
                <w:szCs w:val="16"/>
              </w:rPr>
              <w:t>0,10800</w:t>
            </w:r>
          </w:p>
        </w:tc>
      </w:tr>
    </w:tbl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outlineLvl w:val="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/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</m:eqAr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э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</m:d>
          </m:sup>
        </m:sSubSup>
      </m:oMath>
      <w:r w:rsidRPr="00FD163A">
        <w:rPr>
          <w:sz w:val="24"/>
          <w:szCs w:val="24"/>
        </w:rPr>
        <w:t xml:space="preserve">- </w:t>
      </w:r>
      <w:r w:rsidRPr="00FD163A">
        <w:rPr>
          <w:sz w:val="24"/>
          <w:szCs w:val="24"/>
          <w:lang w:val="en-US"/>
        </w:rPr>
        <w:t>j</w:t>
      </w:r>
      <w:r w:rsidRPr="00FD163A">
        <w:rPr>
          <w:sz w:val="24"/>
          <w:szCs w:val="24"/>
        </w:rPr>
        <w:t>-</w:t>
      </w:r>
      <w:proofErr w:type="spellStart"/>
      <w:r w:rsidRPr="00FD163A">
        <w:rPr>
          <w:sz w:val="24"/>
          <w:szCs w:val="24"/>
        </w:rPr>
        <w:t>ый</w:t>
      </w:r>
      <w:proofErr w:type="spellEnd"/>
      <w:r w:rsidRPr="00FD163A">
        <w:rPr>
          <w:sz w:val="24"/>
          <w:szCs w:val="24"/>
        </w:rPr>
        <w:t xml:space="preserve"> вид цены на электрическую энергию и (или) мощность, руб./ </w:t>
      </w:r>
      <w:proofErr w:type="spellStart"/>
      <w:r w:rsidRPr="00FD163A">
        <w:rPr>
          <w:sz w:val="24"/>
          <w:szCs w:val="24"/>
        </w:rPr>
        <w:t>кВт</w:t>
      </w:r>
      <w:proofErr w:type="gramStart"/>
      <w:r w:rsidRPr="00FD163A">
        <w:rPr>
          <w:sz w:val="24"/>
          <w:szCs w:val="24"/>
        </w:rPr>
        <w:t>.ч</w:t>
      </w:r>
      <w:proofErr w:type="spellEnd"/>
      <w:proofErr w:type="gramEnd"/>
      <w:r w:rsidRPr="00FD163A">
        <w:rPr>
          <w:sz w:val="24"/>
          <w:szCs w:val="24"/>
        </w:rPr>
        <w:t xml:space="preserve"> или руб./кВт, указанный в пункте 16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 октября 2012 года № 703-э</w:t>
      </w:r>
      <w:r w:rsidRPr="00FD163A">
        <w:t xml:space="preserve"> </w:t>
      </w:r>
      <w:r w:rsidRPr="00FD163A">
        <w:rPr>
          <w:sz w:val="24"/>
          <w:szCs w:val="24"/>
        </w:rPr>
        <w:t>(зарегистрировано в Минюсте России 29 ноября 2012 года, регистрационный № 25975);</w:t>
      </w:r>
    </w:p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FD163A">
        <w:rPr>
          <w:sz w:val="24"/>
          <w:szCs w:val="24"/>
        </w:rPr>
        <w:t xml:space="preserve"> - доходность продаж, определяемая в соответствии с Методическими указаниями </w:t>
      </w:r>
      <w:r w:rsidRPr="00FD163A">
        <w:rPr>
          <w:sz w:val="24"/>
          <w:szCs w:val="24"/>
        </w:rPr>
        <w:br/>
        <w:t xml:space="preserve">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</w:t>
      </w:r>
      <w:r w:rsidRPr="00FD163A">
        <w:rPr>
          <w:sz w:val="24"/>
          <w:szCs w:val="24"/>
        </w:rPr>
        <w:br/>
        <w:t xml:space="preserve">№ 703-э (зарегистрировано в Минюсте России 29 ноября 2012 года, регистрационный № 25975), </w:t>
      </w:r>
      <w:r w:rsidRPr="00FD163A">
        <w:rPr>
          <w:sz w:val="24"/>
          <w:szCs w:val="24"/>
        </w:rPr>
        <w:br/>
        <w:t xml:space="preserve">и указанная в отношении </w:t>
      </w:r>
      <w:proofErr w:type="spellStart"/>
      <w:r w:rsidRPr="00FD163A">
        <w:rPr>
          <w:sz w:val="24"/>
          <w:szCs w:val="24"/>
          <w:lang w:val="en-US"/>
        </w:rPr>
        <w:t>i</w:t>
      </w:r>
      <w:proofErr w:type="spellEnd"/>
      <w:r w:rsidRPr="00FD163A">
        <w:rPr>
          <w:sz w:val="24"/>
          <w:szCs w:val="24"/>
        </w:rPr>
        <w:t>-ых подгрупп группы «Прочие потребители» в таблице:</w:t>
      </w: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2"/>
        <w:gridCol w:w="1985"/>
        <w:gridCol w:w="1984"/>
        <w:gridCol w:w="1800"/>
      </w:tblGrid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</w:t>
            </w:r>
            <w:r w:rsidRPr="00FD163A">
              <w:br/>
              <w:t xml:space="preserve">организации </w:t>
            </w:r>
            <w:r w:rsidRPr="00FD163A">
              <w:br/>
              <w:t>в Ленинградской области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Доходность продаж для группы «Прочие потребители», (ДП)</w:t>
            </w:r>
          </w:p>
        </w:tc>
      </w:tr>
      <w:tr w:rsidR="00FD163A" w:rsidRPr="00FD163A" w:rsidTr="00FD163A">
        <w:trPr>
          <w:cantSplit/>
          <w:trHeight w:val="523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подгруппы потребителей</w:t>
            </w:r>
          </w:p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с максимальной мощностью </w:t>
            </w:r>
            <w:proofErr w:type="spellStart"/>
            <w:r w:rsidRPr="00FD163A">
              <w:t>энергопринимающих</w:t>
            </w:r>
            <w:proofErr w:type="spellEnd"/>
            <w:r w:rsidRPr="00FD163A">
              <w:t xml:space="preserve"> устройств</w:t>
            </w:r>
          </w:p>
        </w:tc>
      </w:tr>
      <w:tr w:rsidR="00FD163A" w:rsidRPr="00FD163A" w:rsidTr="00FD163A">
        <w:trPr>
          <w:cantSplit/>
          <w:trHeight w:val="46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менее 150 кВт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от 150 до 670 кВт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от 670 кВт до 10 МВт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</w:rPr>
            </w:pPr>
            <w:r w:rsidRPr="00FD163A">
              <w:t>не менее 10 МВт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проценты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1 </w:t>
            </w:r>
            <w:proofErr w:type="gramStart"/>
            <w:r w:rsidRPr="00FD163A">
              <w:t>полу-</w:t>
            </w:r>
            <w:proofErr w:type="spellStart"/>
            <w:r w:rsidRPr="00FD163A">
              <w:t>годие</w:t>
            </w:r>
            <w:proofErr w:type="spellEnd"/>
            <w:proofErr w:type="gramEnd"/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6</w:t>
            </w:r>
          </w:p>
        </w:tc>
      </w:tr>
      <w:tr w:rsidR="00FD163A" w:rsidRPr="00FD163A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Общество с ограниченной ответственностью «ООО «РКС-</w:t>
            </w:r>
            <w:proofErr w:type="spellStart"/>
            <w:r w:rsidRPr="00FD163A">
              <w:t>энерго</w:t>
            </w:r>
            <w:proofErr w:type="spellEnd"/>
            <w:r w:rsidRPr="00FD163A"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16,41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15,08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10,27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6,01</w:t>
            </w:r>
          </w:p>
        </w:tc>
      </w:tr>
    </w:tbl>
    <w:p w:rsidR="00FD163A" w:rsidRPr="00FD163A" w:rsidRDefault="00FD163A" w:rsidP="00FD1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рег</m:t>
            </m:r>
          </m:sup>
        </m:sSubSup>
      </m:oMath>
      <w:r w:rsidRPr="00FD163A">
        <w:rPr>
          <w:sz w:val="24"/>
          <w:szCs w:val="24"/>
        </w:rPr>
        <w:t xml:space="preserve"> - 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№ 703-э (зарегистрировано в Минюсте России 29 ноября 2012 года, регистрационный № 25975), и указанный в отношении группы «Прочие потребители» </w:t>
      </w:r>
      <w:r w:rsidRPr="00FD163A">
        <w:rPr>
          <w:sz w:val="24"/>
          <w:szCs w:val="24"/>
        </w:rPr>
        <w:br/>
        <w:t>k-</w:t>
      </w:r>
      <w:proofErr w:type="spellStart"/>
      <w:r w:rsidRPr="00FD163A">
        <w:rPr>
          <w:sz w:val="24"/>
          <w:szCs w:val="24"/>
        </w:rPr>
        <w:t>го</w:t>
      </w:r>
      <w:proofErr w:type="spellEnd"/>
      <w:r w:rsidRPr="00FD163A">
        <w:rPr>
          <w:sz w:val="24"/>
          <w:szCs w:val="24"/>
        </w:rPr>
        <w:t xml:space="preserve"> ГП в таблице: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FD163A" w:rsidRPr="00FD163A" w:rsidTr="00FD163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 организации в Ленинградской области</w:t>
            </w:r>
            <w:r w:rsidRPr="00FD163A"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Коэффициент параметров деятельности гарантирующего поставщика, (</w:t>
            </w:r>
            <w:proofErr w:type="spellStart"/>
            <w:r w:rsidRPr="00FD163A">
              <w:t>К</w:t>
            </w:r>
            <w:r w:rsidRPr="00FD163A">
              <w:rPr>
                <w:vertAlign w:val="superscript"/>
              </w:rPr>
              <w:t>рег</w:t>
            </w:r>
            <w:proofErr w:type="spellEnd"/>
            <w:r w:rsidRPr="00FD163A">
              <w:t>)</w:t>
            </w:r>
          </w:p>
        </w:tc>
      </w:tr>
      <w:tr w:rsidR="00FD163A" w:rsidRPr="00FD163A" w:rsidTr="00FD163A">
        <w:trPr>
          <w:cantSplit/>
          <w:trHeight w:val="2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1 полугодие</w:t>
            </w:r>
          </w:p>
        </w:tc>
      </w:tr>
      <w:tr w:rsidR="00FD163A" w:rsidRPr="00FD163A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</w:tr>
      <w:tr w:rsidR="00FD163A" w:rsidRPr="00FD163A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Общество с ограниченной ответственностью «ООО «РКС-</w:t>
            </w:r>
            <w:proofErr w:type="spellStart"/>
            <w:r w:rsidRPr="00FD163A">
              <w:t>энерго</w:t>
            </w:r>
            <w:proofErr w:type="spellEnd"/>
            <w:r w:rsidRPr="00FD163A"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FD163A">
              <w:t>0,4</w:t>
            </w:r>
          </w:p>
        </w:tc>
      </w:tr>
    </w:tbl>
    <w:p w:rsidR="00FD163A" w:rsidRPr="00FD163A" w:rsidRDefault="00FD163A" w:rsidP="00FD163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FD163A">
        <w:rPr>
          <w:sz w:val="24"/>
          <w:szCs w:val="24"/>
        </w:rPr>
        <w:t>Представитель НП «Совет рынка» Кириенко М.Г. по вопросу – «воздержалась».</w:t>
      </w:r>
    </w:p>
    <w:p w:rsidR="00FD163A" w:rsidRPr="00FD163A" w:rsidRDefault="00FD163A" w:rsidP="00FD163A">
      <w:pPr>
        <w:tabs>
          <w:tab w:val="left" w:pos="360"/>
          <w:tab w:val="left" w:pos="3268"/>
        </w:tabs>
        <w:ind w:firstLine="567"/>
        <w:jc w:val="both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ab/>
      </w:r>
    </w:p>
    <w:p w:rsidR="00FD163A" w:rsidRDefault="00FD163A" w:rsidP="00FD163A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>Результаты  голосования: за – 6 человек, против – 0 , воздержались – 1 человек.</w:t>
      </w:r>
    </w:p>
    <w:p w:rsidR="00FD163A" w:rsidRPr="00FD163A" w:rsidRDefault="00E75B45" w:rsidP="00FD163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2.2. </w:t>
      </w:r>
      <w:proofErr w:type="gramStart"/>
      <w:r w:rsidR="00FD163A" w:rsidRPr="00FD163A">
        <w:rPr>
          <w:b/>
          <w:sz w:val="24"/>
          <w:szCs w:val="24"/>
        </w:rPr>
        <w:t>По вопросу повестки дня «Об установлении сбытовых надбавок гарантирующего поставщика электрической энергии общество с ограниченной ответственностью «РУСЭНЕРГОСБЫТ», поставляющего электрическую энергию на розничном рынке на территории Ленинградской области в 2018 году»,</w:t>
      </w:r>
      <w:r w:rsidR="00FD163A" w:rsidRPr="00FD163A">
        <w:rPr>
          <w:sz w:val="24"/>
          <w:szCs w:val="24"/>
        </w:rPr>
        <w:t xml:space="preserve">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="00FD163A" w:rsidRPr="00FD163A">
        <w:rPr>
          <w:sz w:val="24"/>
          <w:szCs w:val="24"/>
        </w:rPr>
        <w:t>Малерчук</w:t>
      </w:r>
      <w:proofErr w:type="spellEnd"/>
      <w:r w:rsidR="00FD163A" w:rsidRPr="00FD163A">
        <w:rPr>
          <w:sz w:val="24"/>
          <w:szCs w:val="24"/>
        </w:rPr>
        <w:t xml:space="preserve"> И.В., изложила основные положения экспертного заключения по экономически обоснованной величине</w:t>
      </w:r>
      <w:proofErr w:type="gramEnd"/>
      <w:r w:rsidR="00FD163A" w:rsidRPr="00FD163A">
        <w:rPr>
          <w:sz w:val="24"/>
          <w:szCs w:val="24"/>
        </w:rPr>
        <w:t xml:space="preserve"> </w:t>
      </w:r>
      <w:proofErr w:type="gramStart"/>
      <w:r w:rsidR="00FD163A" w:rsidRPr="00FD163A">
        <w:rPr>
          <w:sz w:val="24"/>
          <w:szCs w:val="24"/>
        </w:rPr>
        <w:t>расходов и прибыли, формирующих сбытовые надбавки гарантирующего поставщика электроэнергии в 2018 году</w:t>
      </w:r>
      <w:r w:rsidR="00FD163A" w:rsidRPr="00FD163A">
        <w:rPr>
          <w:b/>
          <w:sz w:val="24"/>
          <w:szCs w:val="24"/>
        </w:rPr>
        <w:t xml:space="preserve"> </w:t>
      </w:r>
      <w:r w:rsidR="00FD163A" w:rsidRPr="00FD163A">
        <w:rPr>
          <w:sz w:val="24"/>
          <w:szCs w:val="24"/>
        </w:rPr>
        <w:t>в соответствии с заявлением ООО «РУСЭНЕРГОСБЫТ» от 28 апреля 2017 года № 2785-СК-РЭС/17 (</w:t>
      </w:r>
      <w:proofErr w:type="spellStart"/>
      <w:r w:rsidR="00FD163A" w:rsidRPr="00FD163A">
        <w:rPr>
          <w:sz w:val="24"/>
          <w:szCs w:val="24"/>
        </w:rPr>
        <w:t>вх</w:t>
      </w:r>
      <w:proofErr w:type="spellEnd"/>
      <w:r w:rsidR="00FD163A" w:rsidRPr="00FD163A">
        <w:rPr>
          <w:sz w:val="24"/>
          <w:szCs w:val="24"/>
        </w:rPr>
        <w:t>.</w:t>
      </w:r>
      <w:proofErr w:type="gramEnd"/>
      <w:r w:rsidR="00FD163A" w:rsidRPr="00FD163A">
        <w:rPr>
          <w:sz w:val="24"/>
          <w:szCs w:val="24"/>
        </w:rPr>
        <w:t>№</w:t>
      </w:r>
      <w:r w:rsidR="00FD163A" w:rsidRPr="00FD163A">
        <w:rPr>
          <w:b/>
          <w:sz w:val="28"/>
        </w:rPr>
        <w:t xml:space="preserve"> </w:t>
      </w:r>
      <w:r w:rsidR="00FD163A" w:rsidRPr="00FD163A">
        <w:rPr>
          <w:sz w:val="24"/>
          <w:szCs w:val="24"/>
        </w:rPr>
        <w:t xml:space="preserve">№ </w:t>
      </w:r>
      <w:proofErr w:type="gramStart"/>
      <w:r w:rsidR="00FD163A" w:rsidRPr="00FD163A">
        <w:rPr>
          <w:sz w:val="24"/>
          <w:szCs w:val="24"/>
        </w:rPr>
        <w:t>КТ-1-2707/17-0-0 от 02.05.2017 г.).</w:t>
      </w:r>
      <w:proofErr w:type="gramEnd"/>
      <w:r w:rsidR="00FD163A" w:rsidRPr="00FD163A">
        <w:rPr>
          <w:sz w:val="24"/>
          <w:szCs w:val="24"/>
        </w:rPr>
        <w:t xml:space="preserve"> Ознакомила членов Правления ЛенРТК с письмом о проведении заседания Правления без </w:t>
      </w:r>
      <w:proofErr w:type="gramStart"/>
      <w:r w:rsidR="00FD163A" w:rsidRPr="00FD163A">
        <w:rPr>
          <w:sz w:val="24"/>
          <w:szCs w:val="24"/>
        </w:rPr>
        <w:t>присутствия</w:t>
      </w:r>
      <w:proofErr w:type="gramEnd"/>
      <w:r w:rsidR="00FD163A" w:rsidRPr="00FD163A">
        <w:rPr>
          <w:sz w:val="24"/>
          <w:szCs w:val="24"/>
        </w:rPr>
        <w:t xml:space="preserve"> уполномоченного представителя со стороны ООО «РУСЭНЕРГОСБЫТ» от 27.12.2017 № 7866-СК-РЭС/17. Отметила, что в указанном письме отсутствуют возражения против выводов экспертного заключения по экономически обоснованной величине расходов и прибыли, формирующих сбытовые надбавки гарантирующего поставщика электроэнерг</w:t>
      </w:r>
      <w:proofErr w:type="gramStart"/>
      <w:r w:rsidR="00FD163A" w:rsidRPr="00FD163A">
        <w:rPr>
          <w:sz w:val="24"/>
          <w:szCs w:val="24"/>
        </w:rPr>
        <w:t>ии ООО</w:t>
      </w:r>
      <w:proofErr w:type="gramEnd"/>
      <w:r w:rsidR="00FD163A" w:rsidRPr="00FD163A">
        <w:rPr>
          <w:sz w:val="24"/>
          <w:szCs w:val="24"/>
        </w:rPr>
        <w:t xml:space="preserve"> «РУСЭНЕРГОСБЫТ» в 2018 году.</w:t>
      </w:r>
    </w:p>
    <w:p w:rsidR="00FD163A" w:rsidRPr="00FD163A" w:rsidRDefault="00FD163A" w:rsidP="00FD163A">
      <w:pPr>
        <w:ind w:firstLine="567"/>
        <w:jc w:val="both"/>
        <w:rPr>
          <w:sz w:val="24"/>
          <w:szCs w:val="24"/>
        </w:rPr>
      </w:pPr>
    </w:p>
    <w:p w:rsidR="00FD163A" w:rsidRPr="00FD163A" w:rsidRDefault="00FD163A" w:rsidP="00FD163A">
      <w:pPr>
        <w:ind w:firstLine="567"/>
        <w:jc w:val="both"/>
        <w:rPr>
          <w:b/>
          <w:snapToGrid w:val="0"/>
          <w:sz w:val="24"/>
          <w:szCs w:val="24"/>
        </w:rPr>
      </w:pPr>
      <w:r w:rsidRPr="00FD163A">
        <w:rPr>
          <w:b/>
          <w:snapToGrid w:val="0"/>
          <w:sz w:val="24"/>
          <w:szCs w:val="24"/>
        </w:rPr>
        <w:t>Правление приняло решение:</w:t>
      </w:r>
    </w:p>
    <w:p w:rsidR="00FD163A" w:rsidRPr="00FD163A" w:rsidRDefault="00FD163A" w:rsidP="00FD163A">
      <w:pPr>
        <w:ind w:firstLine="567"/>
        <w:jc w:val="both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>1. Принять для расчета сбытовых надбавок гарантирующего поставщик</w:t>
      </w:r>
      <w:proofErr w:type="gramStart"/>
      <w:r w:rsidRPr="00FD163A">
        <w:rPr>
          <w:snapToGrid w:val="0"/>
          <w:sz w:val="24"/>
          <w:szCs w:val="24"/>
        </w:rPr>
        <w:t xml:space="preserve">а                                     </w:t>
      </w:r>
      <w:r w:rsidRPr="00FD163A">
        <w:rPr>
          <w:sz w:val="24"/>
          <w:szCs w:val="24"/>
          <w:lang w:eastAsia="ar-SA"/>
        </w:rPr>
        <w:t>ООО</w:t>
      </w:r>
      <w:proofErr w:type="gramEnd"/>
      <w:r w:rsidRPr="00FD163A">
        <w:rPr>
          <w:sz w:val="24"/>
          <w:szCs w:val="24"/>
          <w:lang w:eastAsia="ar-SA"/>
        </w:rPr>
        <w:t xml:space="preserve"> «РУСЭНЕРГОСБЫТ» </w:t>
      </w:r>
      <w:r w:rsidRPr="00FD163A">
        <w:rPr>
          <w:snapToGrid w:val="0"/>
          <w:sz w:val="24"/>
          <w:szCs w:val="24"/>
        </w:rPr>
        <w:t xml:space="preserve">следующие балансовые показатели: </w:t>
      </w:r>
    </w:p>
    <w:p w:rsidR="00FD163A" w:rsidRPr="00FD163A" w:rsidRDefault="00FD163A" w:rsidP="00FD163A">
      <w:pPr>
        <w:ind w:firstLine="567"/>
        <w:jc w:val="right"/>
        <w:rPr>
          <w:snapToGrid w:val="0"/>
          <w:sz w:val="24"/>
          <w:szCs w:val="24"/>
        </w:rPr>
      </w:pPr>
      <w:proofErr w:type="spellStart"/>
      <w:r w:rsidRPr="00FD163A">
        <w:rPr>
          <w:snapToGrid w:val="0"/>
          <w:sz w:val="24"/>
          <w:szCs w:val="24"/>
        </w:rPr>
        <w:t>кВт</w:t>
      </w:r>
      <w:proofErr w:type="gramStart"/>
      <w:r w:rsidRPr="00FD163A">
        <w:rPr>
          <w:snapToGrid w:val="0"/>
          <w:sz w:val="24"/>
          <w:szCs w:val="24"/>
        </w:rPr>
        <w:t>.ч</w:t>
      </w:r>
      <w:proofErr w:type="spellEnd"/>
      <w:proofErr w:type="gramEnd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2660"/>
        <w:gridCol w:w="2662"/>
      </w:tblGrid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rPr>
                <w:color w:val="000000"/>
              </w:rPr>
            </w:pPr>
            <w:r w:rsidRPr="00E75B45">
              <w:rPr>
                <w:color w:val="000000"/>
              </w:rPr>
              <w:t>Тарифная группа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 xml:space="preserve">1 </w:t>
            </w:r>
            <w:proofErr w:type="gramStart"/>
            <w:r w:rsidRPr="00E75B45">
              <w:rPr>
                <w:color w:val="000000"/>
              </w:rPr>
              <w:t>п</w:t>
            </w:r>
            <w:proofErr w:type="gramEnd"/>
            <w:r w:rsidRPr="00E75B45">
              <w:rPr>
                <w:color w:val="000000"/>
              </w:rPr>
              <w:t>/г 2018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 xml:space="preserve">2 </w:t>
            </w:r>
            <w:proofErr w:type="gramStart"/>
            <w:r w:rsidRPr="00E75B45">
              <w:rPr>
                <w:color w:val="000000"/>
              </w:rPr>
              <w:t>п</w:t>
            </w:r>
            <w:proofErr w:type="gramEnd"/>
            <w:r w:rsidRPr="00E75B45">
              <w:rPr>
                <w:color w:val="000000"/>
              </w:rPr>
              <w:t>/г 2018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rPr>
                <w:color w:val="000000"/>
              </w:rPr>
            </w:pPr>
            <w:r w:rsidRPr="00E75B45">
              <w:rPr>
                <w:color w:val="000000"/>
              </w:rPr>
              <w:t>«население» и приравненные к нему категории потребителей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20 805 500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20 484 300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rPr>
                <w:color w:val="000000"/>
              </w:rPr>
            </w:pPr>
            <w:r w:rsidRPr="00E75B45">
              <w:rPr>
                <w:color w:val="000000"/>
              </w:rPr>
              <w:t>Прочие потребители, всего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587 180 692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586 033 993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r w:rsidRPr="00E75B45">
              <w:t>в том числе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jc w:val="right"/>
            </w:pPr>
            <w:r w:rsidRPr="00E75B45">
              <w:t>менее 670 кВт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14 427 635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14 224 744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jc w:val="right"/>
            </w:pPr>
            <w:r w:rsidRPr="00E75B45">
              <w:t>от 670 кВт до 10 МВт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7 146 502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6 488 151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FD163A" w:rsidRPr="00E75B45" w:rsidRDefault="00FD163A" w:rsidP="00FD163A">
            <w:pPr>
              <w:jc w:val="right"/>
            </w:pPr>
            <w:r w:rsidRPr="00E75B45">
              <w:t>не менее 10 МВт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565 606 555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565 321 098</w:t>
            </w:r>
          </w:p>
        </w:tc>
      </w:tr>
      <w:tr w:rsidR="00FD163A" w:rsidRPr="00E75B45" w:rsidTr="00E75B45">
        <w:trPr>
          <w:trHeight w:val="300"/>
        </w:trPr>
        <w:tc>
          <w:tcPr>
            <w:tcW w:w="2455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rPr>
                <w:color w:val="000000"/>
              </w:rPr>
            </w:pPr>
            <w:r w:rsidRPr="00E75B45">
              <w:rPr>
                <w:color w:val="000000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1272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14 295 050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:rsidR="00FD163A" w:rsidRPr="00E75B45" w:rsidRDefault="00FD163A" w:rsidP="00FD163A">
            <w:pPr>
              <w:jc w:val="center"/>
              <w:rPr>
                <w:color w:val="000000"/>
              </w:rPr>
            </w:pPr>
            <w:r w:rsidRPr="00E75B45">
              <w:rPr>
                <w:color w:val="000000"/>
              </w:rPr>
              <w:t>14 870 166</w:t>
            </w:r>
          </w:p>
        </w:tc>
      </w:tr>
    </w:tbl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  <w:r w:rsidRPr="00FD163A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-3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403"/>
        <w:gridCol w:w="2220"/>
        <w:gridCol w:w="1765"/>
        <w:gridCol w:w="3130"/>
      </w:tblGrid>
      <w:tr w:rsidR="00FD163A" w:rsidRPr="00FD163A" w:rsidTr="00FD163A">
        <w:trPr>
          <w:trHeight w:val="20"/>
          <w:tblHeader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Наименование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</w:rPr>
            </w:pPr>
            <w:r w:rsidRPr="00FD163A">
              <w:rPr>
                <w:b/>
                <w:bCs/>
              </w:rPr>
              <w:t xml:space="preserve">Предложения </w:t>
            </w:r>
            <w:r w:rsidRPr="00FD163A">
              <w:t xml:space="preserve">  </w:t>
            </w:r>
            <w:r w:rsidRPr="00FD163A">
              <w:rPr>
                <w:b/>
                <w:bCs/>
              </w:rPr>
              <w:t>ООО «РУСЭНЕРГОСБЫТ»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 xml:space="preserve">Причины </w:t>
            </w:r>
          </w:p>
          <w:p w:rsidR="00FD163A" w:rsidRPr="00FD163A" w:rsidRDefault="00FD163A" w:rsidP="00FD163A">
            <w:pPr>
              <w:jc w:val="center"/>
              <w:rPr>
                <w:b/>
                <w:bCs/>
                <w:color w:val="000000"/>
              </w:rPr>
            </w:pPr>
            <w:r w:rsidRPr="00FD163A">
              <w:rPr>
                <w:b/>
                <w:bCs/>
                <w:color w:val="000000"/>
              </w:rPr>
              <w:t>корректировки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Операционные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38 935 969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38 935 969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r w:rsidRPr="00FD163A">
              <w:t>Неподконтрольные расходы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1 185 942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985 942</w:t>
            </w:r>
          </w:p>
          <w:p w:rsidR="00FD163A" w:rsidRPr="00FD163A" w:rsidRDefault="00FD163A" w:rsidP="00FD163A">
            <w:pPr>
              <w:jc w:val="center"/>
            </w:pP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Произведена корректировка амортизационных отчислений с учетом максимального срока использования основных средств</w:t>
            </w: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формирование резерва по сомнительным долгам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0,00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0,00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 xml:space="preserve">Расходы на уплату процентов по заемным средствам </w:t>
            </w:r>
          </w:p>
        </w:tc>
        <w:tc>
          <w:tcPr>
            <w:tcW w:w="893" w:type="pct"/>
            <w:shd w:val="clear" w:color="auto" w:fill="auto"/>
            <w:noWrap/>
          </w:tcPr>
          <w:p w:rsidR="00FD163A" w:rsidRPr="00FD163A" w:rsidRDefault="00FD163A" w:rsidP="00FD163A">
            <w:pPr>
              <w:jc w:val="center"/>
            </w:pPr>
            <w:r w:rsidRPr="00FD163A">
              <w:t>22 695 750</w:t>
            </w:r>
          </w:p>
        </w:tc>
        <w:tc>
          <w:tcPr>
            <w:tcW w:w="893" w:type="pct"/>
            <w:shd w:val="clear" w:color="auto" w:fill="auto"/>
            <w:noWrap/>
          </w:tcPr>
          <w:p w:rsidR="00FD163A" w:rsidRPr="00FD163A" w:rsidRDefault="00FD163A" w:rsidP="00FD163A">
            <w:pPr>
              <w:jc w:val="center"/>
            </w:pPr>
            <w:r w:rsidRPr="00FD163A">
              <w:t>22 695 750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Расчетная предпринимательская прибыль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</w:pPr>
            <w:r w:rsidRPr="00FD163A">
              <w:t>40 226 604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</w:pPr>
            <w:r w:rsidRPr="00FD163A">
              <w:t>40 226 604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Выпадающие доходы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</w:pPr>
            <w:r w:rsidRPr="00FD163A">
              <w:t>-1 014 150</w:t>
            </w:r>
          </w:p>
        </w:tc>
        <w:tc>
          <w:tcPr>
            <w:tcW w:w="893" w:type="pct"/>
            <w:shd w:val="clear" w:color="auto" w:fill="auto"/>
            <w:noWrap/>
            <w:vAlign w:val="bottom"/>
          </w:tcPr>
          <w:p w:rsidR="00FD163A" w:rsidRPr="00FD163A" w:rsidRDefault="00FD163A" w:rsidP="00FD163A">
            <w:pPr>
              <w:jc w:val="center"/>
            </w:pPr>
            <w:r w:rsidRPr="00FD163A">
              <w:t>-1 014 150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</w:pPr>
          </w:p>
        </w:tc>
      </w:tr>
      <w:tr w:rsidR="00FD163A" w:rsidRPr="00FD163A" w:rsidTr="00FD163A">
        <w:trPr>
          <w:trHeight w:val="299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b/>
              </w:rPr>
            </w:pPr>
            <w:r w:rsidRPr="00FD163A">
              <w:rPr>
                <w:b/>
              </w:rPr>
              <w:t>102 030 115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  <w:rPr>
                <w:b/>
              </w:rPr>
            </w:pPr>
            <w:r w:rsidRPr="00FD163A">
              <w:rPr>
                <w:b/>
              </w:rPr>
              <w:t>101 830 114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t>н</w:t>
            </w:r>
            <w:r w:rsidRPr="00FD163A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12 243 851  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12 243 851   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t>необходимая валовая выручка по сбытовой надбавке для прочих потребителей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>82 852 647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82 652 646  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  <w:tr w:rsidR="00FD163A" w:rsidRPr="00FD163A" w:rsidTr="00FD163A">
        <w:trPr>
          <w:trHeight w:val="20"/>
        </w:trPr>
        <w:tc>
          <w:tcPr>
            <w:tcW w:w="1672" w:type="pct"/>
            <w:shd w:val="clear" w:color="auto" w:fill="auto"/>
            <w:vAlign w:val="center"/>
          </w:tcPr>
          <w:p w:rsidR="00FD163A" w:rsidRPr="00FD163A" w:rsidRDefault="00FD163A" w:rsidP="00FD163A">
            <w:r w:rsidRPr="00FD163A">
              <w:rPr>
                <w:color w:val="000000"/>
              </w:rPr>
              <w:lastRenderedPageBreak/>
              <w:t xml:space="preserve">необходимая валовая выручка по сбытовой надбавке для </w:t>
            </w:r>
            <w:r w:rsidRPr="00FD163A">
              <w:rPr>
                <w:b/>
                <w:i/>
                <w:sz w:val="28"/>
                <w:szCs w:val="28"/>
              </w:rPr>
              <w:t xml:space="preserve"> </w:t>
            </w:r>
            <w:r w:rsidRPr="00FD163A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6 933 617   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jc w:val="center"/>
            </w:pPr>
            <w:r w:rsidRPr="00FD163A">
              <w:t xml:space="preserve">6 933 617   </w:t>
            </w:r>
          </w:p>
        </w:tc>
        <w:tc>
          <w:tcPr>
            <w:tcW w:w="1542" w:type="pct"/>
            <w:vAlign w:val="center"/>
          </w:tcPr>
          <w:p w:rsidR="00FD163A" w:rsidRPr="00FD163A" w:rsidRDefault="00FD163A" w:rsidP="00FD163A">
            <w:pPr>
              <w:jc w:val="center"/>
              <w:rPr>
                <w:color w:val="000000"/>
              </w:rPr>
            </w:pPr>
          </w:p>
        </w:tc>
      </w:tr>
    </w:tbl>
    <w:p w:rsidR="00FD163A" w:rsidRPr="00FD163A" w:rsidRDefault="00FD163A" w:rsidP="00FD163A">
      <w:pPr>
        <w:ind w:firstLine="567"/>
        <w:rPr>
          <w:snapToGrid w:val="0"/>
          <w:sz w:val="24"/>
          <w:szCs w:val="24"/>
        </w:rPr>
      </w:pPr>
    </w:p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163A">
        <w:rPr>
          <w:sz w:val="24"/>
          <w:szCs w:val="24"/>
        </w:rPr>
        <w:t>3. Установить с 1 января 2018 года по 31 декабря 2018 года сбытовые надбавки гарантирующего поставщика электрической энергии общества с ограниченной ответственностью «ООО «РУСЭНЕРГОСБЫТ», поставляющего электрическую энергию на розничном рынке на территории Ленинградской области в следующих размерах:</w:t>
      </w:r>
    </w:p>
    <w:p w:rsidR="00FD163A" w:rsidRPr="00FD163A" w:rsidRDefault="00FD163A" w:rsidP="00FD1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693"/>
      </w:tblGrid>
      <w:tr w:rsidR="00FD163A" w:rsidRPr="00E75B45" w:rsidTr="00FD163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 xml:space="preserve">№ </w:t>
            </w:r>
            <w:r w:rsidRPr="00E75B45">
              <w:br/>
            </w:r>
            <w:proofErr w:type="gramStart"/>
            <w:r w:rsidRPr="00E75B45">
              <w:t>п</w:t>
            </w:r>
            <w:proofErr w:type="gramEnd"/>
            <w:r w:rsidRPr="00E75B45"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Наименование гарантирующего поставщика</w:t>
            </w:r>
            <w:r w:rsidRPr="00E75B45"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E75B45">
              <w:t>Сбытовая надбавка</w:t>
            </w:r>
          </w:p>
        </w:tc>
      </w:tr>
      <w:tr w:rsidR="00FD163A" w:rsidRPr="00E75B45" w:rsidTr="00FD163A">
        <w:trPr>
          <w:cantSplit/>
          <w:trHeight w:val="5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E75B45">
              <w:t>Тарифная группа потребителей «население» и приравненные к нему категории потребителей</w:t>
            </w:r>
          </w:p>
        </w:tc>
      </w:tr>
      <w:tr w:rsidR="00FD163A" w:rsidRPr="00E75B45" w:rsidTr="00FD163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руб./</w:t>
            </w:r>
            <w:proofErr w:type="spellStart"/>
            <w:r w:rsidRPr="00E75B45">
              <w:t>квт·ч</w:t>
            </w:r>
            <w:proofErr w:type="spellEnd"/>
          </w:p>
        </w:tc>
      </w:tr>
      <w:tr w:rsidR="00FD163A" w:rsidRPr="00E75B45" w:rsidTr="00FD163A">
        <w:trPr>
          <w:cantSplit/>
          <w:trHeight w:val="2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2 полугодие</w:t>
            </w:r>
          </w:p>
        </w:tc>
      </w:tr>
      <w:tr w:rsidR="00FD163A" w:rsidRPr="00E75B45" w:rsidTr="00FD163A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E75B45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contextualSpacing/>
              <w:jc w:val="center"/>
            </w:pPr>
            <w:r w:rsidRPr="00E75B45">
              <w:t>4</w:t>
            </w:r>
          </w:p>
        </w:tc>
      </w:tr>
      <w:tr w:rsidR="00FD163A" w:rsidRPr="00E75B45" w:rsidTr="00FD163A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Общество с ограниченной ответственностью «РУСЭНЕРГОСБЫТ»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E75B45">
              <w:t>0,04334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E75B45">
              <w:t>0,55370</w:t>
            </w: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2551"/>
      </w:tblGrid>
      <w:tr w:rsidR="00FD163A" w:rsidRPr="00E75B45" w:rsidTr="00FD163A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 xml:space="preserve">№ </w:t>
            </w:r>
            <w:r w:rsidRPr="00E75B45">
              <w:br/>
            </w:r>
            <w:proofErr w:type="gramStart"/>
            <w:r w:rsidRPr="00E75B45">
              <w:t>п</w:t>
            </w:r>
            <w:proofErr w:type="gramEnd"/>
            <w:r w:rsidRPr="00E75B45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Наименование гарантирующего поставщика</w:t>
            </w:r>
            <w:r w:rsidRPr="00E75B45">
              <w:br/>
              <w:t>в Ленинградской области</w:t>
            </w:r>
          </w:p>
        </w:tc>
        <w:tc>
          <w:tcPr>
            <w:tcW w:w="5103" w:type="dxa"/>
            <w:gridSpan w:val="2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E75B45">
              <w:t>Сбытовая надбавка</w:t>
            </w:r>
          </w:p>
        </w:tc>
      </w:tr>
      <w:tr w:rsidR="00FD163A" w:rsidRPr="00E75B45" w:rsidTr="00FD163A">
        <w:trPr>
          <w:cantSplit/>
          <w:trHeight w:val="527"/>
        </w:trPr>
        <w:tc>
          <w:tcPr>
            <w:tcW w:w="567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E75B45"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FD163A" w:rsidRPr="00E75B45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руб./</w:t>
            </w:r>
            <w:proofErr w:type="spellStart"/>
            <w:r w:rsidRPr="00E75B45">
              <w:t>квт·ч</w:t>
            </w:r>
            <w:proofErr w:type="spellEnd"/>
          </w:p>
        </w:tc>
      </w:tr>
      <w:tr w:rsidR="00FD163A" w:rsidRPr="00E75B45" w:rsidTr="00FD163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 полугодие</w:t>
            </w:r>
          </w:p>
        </w:tc>
        <w:tc>
          <w:tcPr>
            <w:tcW w:w="2551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2 полугодие</w:t>
            </w:r>
          </w:p>
        </w:tc>
      </w:tr>
      <w:tr w:rsidR="00FD163A" w:rsidRPr="00E75B45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4536" w:type="dxa"/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2</w:t>
            </w:r>
          </w:p>
        </w:tc>
        <w:tc>
          <w:tcPr>
            <w:tcW w:w="2552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3</w:t>
            </w:r>
          </w:p>
        </w:tc>
        <w:tc>
          <w:tcPr>
            <w:tcW w:w="2551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4</w:t>
            </w:r>
          </w:p>
        </w:tc>
      </w:tr>
      <w:tr w:rsidR="00FD163A" w:rsidRPr="00E75B45" w:rsidTr="00FD163A">
        <w:trPr>
          <w:cantSplit/>
          <w:trHeight w:val="240"/>
        </w:trPr>
        <w:tc>
          <w:tcPr>
            <w:tcW w:w="567" w:type="dxa"/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4536" w:type="dxa"/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Общество с ограниченной ответственностью  «РУСЭНЕРГОСБЫТ»</w:t>
            </w:r>
          </w:p>
        </w:tc>
        <w:tc>
          <w:tcPr>
            <w:tcW w:w="2552" w:type="dxa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E75B45">
              <w:t xml:space="preserve">0,21444 </w:t>
            </w:r>
          </w:p>
        </w:tc>
        <w:tc>
          <w:tcPr>
            <w:tcW w:w="2551" w:type="dxa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E75B45">
              <w:t>0,26013</w:t>
            </w:r>
          </w:p>
        </w:tc>
      </w:tr>
    </w:tbl>
    <w:p w:rsidR="00FD163A" w:rsidRPr="00FD163A" w:rsidRDefault="00FD163A" w:rsidP="00FD163A">
      <w:pPr>
        <w:ind w:firstLine="567"/>
        <w:rPr>
          <w:sz w:val="24"/>
          <w:szCs w:val="24"/>
        </w:rPr>
      </w:pPr>
    </w:p>
    <w:tbl>
      <w:tblPr>
        <w:tblW w:w="13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54"/>
        <w:gridCol w:w="3685"/>
        <w:gridCol w:w="3544"/>
        <w:gridCol w:w="3546"/>
      </w:tblGrid>
      <w:tr w:rsidR="00FD163A" w:rsidRPr="00FD163A" w:rsidTr="00FD163A">
        <w:trPr>
          <w:gridAfter w:val="1"/>
          <w:wAfter w:w="3546" w:type="dxa"/>
          <w:cantSplit/>
          <w:trHeight w:val="1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 xml:space="preserve">№ </w:t>
            </w:r>
            <w:r w:rsidRPr="00FD163A">
              <w:br/>
            </w:r>
            <w:proofErr w:type="gramStart"/>
            <w:r w:rsidRPr="00FD163A">
              <w:t>п</w:t>
            </w:r>
            <w:proofErr w:type="gramEnd"/>
            <w:r w:rsidRPr="00FD163A">
              <w:t>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Наименование</w:t>
            </w:r>
            <w:r w:rsidRPr="00FD163A">
              <w:br/>
              <w:t>гарантирующего поставщика в Ленинградской области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>Сбытовая надбавка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4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FD163A">
              <w:t xml:space="preserve">Тарифная группа «Прочие потребители» 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22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 xml:space="preserve">В виде формулы на розничном рынке на территориях, объединенных в ценовые зоны оптового рынка 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3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1 полугодие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 полугодие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4</w:t>
            </w:r>
          </w:p>
        </w:tc>
      </w:tr>
      <w:tr w:rsidR="00FD163A" w:rsidRPr="00FD163A" w:rsidTr="00FD163A">
        <w:trPr>
          <w:cantSplit/>
          <w:trHeight w:val="35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63A">
              <w:t>1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FD163A">
              <w:t>Общество с ограниченной ответственностью «</w:t>
            </w:r>
            <w:r w:rsidRPr="00FD163A">
              <w:rPr>
                <w:sz w:val="24"/>
                <w:szCs w:val="24"/>
              </w:rPr>
              <w:t>РУСЭНЕРГОСБЫТ</w:t>
            </w:r>
            <w:r w:rsidRPr="00FD163A"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до 150 кВт</w:t>
            </w:r>
            <w:r w:rsidRPr="00FD163A">
              <w:t xml:space="preserve">  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</w:pPr>
            <w:r w:rsidRPr="00FD163A">
              <w:t>0,23986</w:t>
            </w:r>
          </w:p>
        </w:tc>
        <w:tc>
          <w:tcPr>
            <w:tcW w:w="3546" w:type="dxa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</w:rPr>
            </w:pPr>
            <w:r w:rsidRPr="00FD163A">
              <w:rPr>
                <w:sz w:val="18"/>
                <w:szCs w:val="18"/>
              </w:rPr>
              <w:t>0,16813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от 150 до 670  кВт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proofErr w:type="spellStart"/>
            <w:r w:rsidRPr="00FD163A">
              <w:t>СН</w:t>
            </w:r>
            <w:r w:rsidRPr="00FD163A">
              <w:rPr>
                <w:sz w:val="16"/>
                <w:szCs w:val="16"/>
              </w:rPr>
              <w:t>от</w:t>
            </w:r>
            <w:proofErr w:type="spellEnd"/>
            <w:r w:rsidRPr="00FD163A">
              <w:rPr>
                <w:sz w:val="16"/>
                <w:szCs w:val="16"/>
              </w:rPr>
              <w:t xml:space="preserve"> 670 кВт до 10 МВт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</w:pPr>
            <w:r w:rsidRPr="00FD163A">
              <w:t>0,07990</w:t>
            </w:r>
          </w:p>
        </w:tc>
      </w:tr>
      <w:tr w:rsidR="00FD163A" w:rsidRPr="00FD163A" w:rsidTr="00FD163A">
        <w:trPr>
          <w:gridAfter w:val="1"/>
          <w:wAfter w:w="3546" w:type="dxa"/>
          <w:cantSplit/>
          <w:trHeight w:val="35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FD163A">
              <w:t xml:space="preserve">СН </w:t>
            </w:r>
            <w:r w:rsidRPr="00FD163A">
              <w:rPr>
                <w:sz w:val="16"/>
                <w:szCs w:val="16"/>
              </w:rPr>
              <w:t>не менее 10 МВт</w:t>
            </w:r>
            <w:r w:rsidRPr="00FD163A">
              <w:t xml:space="preserve">= </w:t>
            </w:r>
            <w:proofErr w:type="spellStart"/>
            <w:r w:rsidRPr="00FD163A">
              <w:t>ДПхК</w:t>
            </w:r>
            <w:r w:rsidRPr="00FD163A">
              <w:rPr>
                <w:sz w:val="16"/>
                <w:szCs w:val="16"/>
              </w:rPr>
              <w:t>рег</w:t>
            </w:r>
            <w:r w:rsidRPr="00FD163A">
              <w:t>хЦ</w:t>
            </w:r>
            <w:proofErr w:type="gramStart"/>
            <w:r w:rsidRPr="00FD163A">
              <w:t>э</w:t>
            </w:r>
            <w:proofErr w:type="spellEnd"/>
            <w:r w:rsidRPr="00FD163A">
              <w:t>(</w:t>
            </w:r>
            <w:proofErr w:type="gramEnd"/>
            <w:r w:rsidRPr="00FD163A">
              <w:t>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63A" w:rsidRPr="00FD163A" w:rsidRDefault="00FD163A" w:rsidP="00FD163A">
            <w:pPr>
              <w:jc w:val="center"/>
            </w:pPr>
            <w:r w:rsidRPr="00FD163A">
              <w:t>0,07990</w:t>
            </w:r>
          </w:p>
        </w:tc>
      </w:tr>
    </w:tbl>
    <w:p w:rsidR="00FD163A" w:rsidRPr="00FD163A" w:rsidRDefault="00FD163A" w:rsidP="00FD163A">
      <w:pPr>
        <w:ind w:firstLine="567"/>
        <w:rPr>
          <w:sz w:val="24"/>
          <w:szCs w:val="24"/>
        </w:rPr>
      </w:pPr>
    </w:p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outlineLvl w:val="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/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</m:eqAr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э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</m:d>
          </m:sup>
        </m:sSubSup>
      </m:oMath>
      <w:r w:rsidRPr="00FD163A">
        <w:rPr>
          <w:sz w:val="24"/>
          <w:szCs w:val="24"/>
        </w:rPr>
        <w:t xml:space="preserve">- </w:t>
      </w:r>
      <w:r w:rsidRPr="00FD163A">
        <w:rPr>
          <w:sz w:val="24"/>
          <w:szCs w:val="24"/>
          <w:lang w:val="en-US"/>
        </w:rPr>
        <w:t>j</w:t>
      </w:r>
      <w:r w:rsidRPr="00FD163A">
        <w:rPr>
          <w:sz w:val="24"/>
          <w:szCs w:val="24"/>
        </w:rPr>
        <w:t>-</w:t>
      </w:r>
      <w:proofErr w:type="spellStart"/>
      <w:r w:rsidRPr="00FD163A">
        <w:rPr>
          <w:sz w:val="24"/>
          <w:szCs w:val="24"/>
        </w:rPr>
        <w:t>ый</w:t>
      </w:r>
      <w:proofErr w:type="spellEnd"/>
      <w:r w:rsidRPr="00FD163A">
        <w:rPr>
          <w:sz w:val="24"/>
          <w:szCs w:val="24"/>
        </w:rPr>
        <w:t xml:space="preserve"> вид цены на электрическую энергию и (или) мощность, руб./ </w:t>
      </w:r>
      <w:proofErr w:type="spellStart"/>
      <w:r w:rsidRPr="00FD163A">
        <w:rPr>
          <w:sz w:val="24"/>
          <w:szCs w:val="24"/>
        </w:rPr>
        <w:t>кВт</w:t>
      </w:r>
      <w:proofErr w:type="gramStart"/>
      <w:r w:rsidRPr="00FD163A">
        <w:rPr>
          <w:sz w:val="24"/>
          <w:szCs w:val="24"/>
        </w:rPr>
        <w:t>.ч</w:t>
      </w:r>
      <w:proofErr w:type="spellEnd"/>
      <w:proofErr w:type="gramEnd"/>
      <w:r w:rsidRPr="00FD163A">
        <w:rPr>
          <w:sz w:val="24"/>
          <w:szCs w:val="24"/>
        </w:rPr>
        <w:t xml:space="preserve"> или руб./кВт, указанный в пункте 16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 октября 2012 года № 703-э</w:t>
      </w:r>
      <w:r w:rsidRPr="00FD163A">
        <w:t xml:space="preserve"> </w:t>
      </w:r>
      <w:r w:rsidRPr="00FD163A">
        <w:rPr>
          <w:sz w:val="24"/>
          <w:szCs w:val="24"/>
        </w:rPr>
        <w:t>(зарегистрировано в Минюсте России 29 ноября 2012 года, регистрационный № 25975);</w:t>
      </w:r>
    </w:p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FD163A">
        <w:rPr>
          <w:sz w:val="24"/>
          <w:szCs w:val="24"/>
        </w:rPr>
        <w:t xml:space="preserve"> - доходность продаж, определяемая в соответствии с Методическими указаниями </w:t>
      </w:r>
      <w:r w:rsidRPr="00FD163A">
        <w:rPr>
          <w:sz w:val="24"/>
          <w:szCs w:val="24"/>
        </w:rPr>
        <w:br/>
        <w:t xml:space="preserve">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</w:t>
      </w:r>
      <w:r w:rsidRPr="00FD163A">
        <w:rPr>
          <w:sz w:val="24"/>
          <w:szCs w:val="24"/>
        </w:rPr>
        <w:br/>
      </w:r>
      <w:r w:rsidRPr="00FD163A">
        <w:rPr>
          <w:sz w:val="24"/>
          <w:szCs w:val="24"/>
        </w:rPr>
        <w:lastRenderedPageBreak/>
        <w:t xml:space="preserve">№ 703-э (зарегистрировано в Минюсте России 29 ноября 2012 года, регистрационный № 25975), </w:t>
      </w:r>
      <w:r w:rsidRPr="00FD163A">
        <w:rPr>
          <w:sz w:val="24"/>
          <w:szCs w:val="24"/>
        </w:rPr>
        <w:br/>
        <w:t xml:space="preserve">и указанная в отношении </w:t>
      </w:r>
      <w:proofErr w:type="spellStart"/>
      <w:r w:rsidRPr="00FD163A">
        <w:rPr>
          <w:sz w:val="24"/>
          <w:szCs w:val="24"/>
          <w:lang w:val="en-US"/>
        </w:rPr>
        <w:t>i</w:t>
      </w:r>
      <w:proofErr w:type="spellEnd"/>
      <w:r w:rsidRPr="00FD163A">
        <w:rPr>
          <w:sz w:val="24"/>
          <w:szCs w:val="24"/>
        </w:rPr>
        <w:t>-ых подгрупп группы «Прочие потребители» в таблице:</w:t>
      </w:r>
    </w:p>
    <w:p w:rsidR="00FD163A" w:rsidRPr="00FD163A" w:rsidRDefault="00FD163A" w:rsidP="00FD163A">
      <w:pPr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sz w:val="24"/>
          <w:szCs w:val="24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2"/>
        <w:gridCol w:w="1985"/>
        <w:gridCol w:w="1984"/>
        <w:gridCol w:w="1800"/>
      </w:tblGrid>
      <w:tr w:rsidR="00FD163A" w:rsidRPr="00E75B45" w:rsidTr="00FD163A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E75B45">
              <w:t xml:space="preserve">№ </w:t>
            </w:r>
            <w:r w:rsidRPr="00E75B45">
              <w:br/>
            </w:r>
            <w:proofErr w:type="gramStart"/>
            <w:r w:rsidRPr="00E75B45">
              <w:t>п</w:t>
            </w:r>
            <w:proofErr w:type="gramEnd"/>
            <w:r w:rsidRPr="00E75B45"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Наименование</w:t>
            </w:r>
            <w:r w:rsidRPr="00E75B45">
              <w:br/>
              <w:t xml:space="preserve">организации </w:t>
            </w:r>
            <w:r w:rsidRPr="00E75B45">
              <w:br/>
              <w:t>в Ленинградской области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E75B45">
              <w:t>Доходность продаж для группы «Прочие потребители», (ДП)</w:t>
            </w:r>
          </w:p>
        </w:tc>
      </w:tr>
      <w:tr w:rsidR="00FD163A" w:rsidRPr="00E75B45" w:rsidTr="00FD163A">
        <w:trPr>
          <w:cantSplit/>
          <w:trHeight w:val="523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подгруппы потребителей</w:t>
            </w:r>
          </w:p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с максимальной мощностью </w:t>
            </w:r>
            <w:proofErr w:type="spellStart"/>
            <w:r w:rsidRPr="00E75B45">
              <w:t>энергопринимающих</w:t>
            </w:r>
            <w:proofErr w:type="spellEnd"/>
            <w:r w:rsidRPr="00E75B45">
              <w:t xml:space="preserve"> устройств</w:t>
            </w:r>
          </w:p>
        </w:tc>
      </w:tr>
      <w:tr w:rsidR="00FD163A" w:rsidRPr="00E75B45" w:rsidTr="00FD163A">
        <w:trPr>
          <w:cantSplit/>
          <w:trHeight w:val="46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менее 150 кВт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от 150 до 670 кВт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от 670 кВт до 10 МВт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</w:rPr>
            </w:pPr>
            <w:r w:rsidRPr="00E75B45">
              <w:t>не менее 10 МВт</w:t>
            </w:r>
          </w:p>
        </w:tc>
      </w:tr>
      <w:tr w:rsidR="00FD163A" w:rsidRPr="00E75B45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проценты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проценты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проценты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проценты</w:t>
            </w:r>
          </w:p>
        </w:tc>
      </w:tr>
      <w:tr w:rsidR="00FD163A" w:rsidRPr="00E75B45" w:rsidTr="00FD163A">
        <w:trPr>
          <w:cantSplit/>
          <w:trHeight w:val="240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1 </w:t>
            </w:r>
            <w:proofErr w:type="gramStart"/>
            <w:r w:rsidRPr="00E75B45">
              <w:t>полу-</w:t>
            </w:r>
            <w:proofErr w:type="spellStart"/>
            <w:r w:rsidRPr="00E75B45">
              <w:t>годие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1 </w:t>
            </w:r>
            <w:proofErr w:type="gramStart"/>
            <w:r w:rsidRPr="00E75B45">
              <w:t>полу-</w:t>
            </w:r>
            <w:proofErr w:type="spellStart"/>
            <w:r w:rsidRPr="00E75B45">
              <w:t>годие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1 </w:t>
            </w:r>
            <w:proofErr w:type="gramStart"/>
            <w:r w:rsidRPr="00E75B45">
              <w:t>полу-</w:t>
            </w:r>
            <w:proofErr w:type="spellStart"/>
            <w:r w:rsidRPr="00E75B45">
              <w:t>годие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1 </w:t>
            </w:r>
            <w:proofErr w:type="gramStart"/>
            <w:r w:rsidRPr="00E75B45">
              <w:t>полу-</w:t>
            </w:r>
            <w:proofErr w:type="spellStart"/>
            <w:r w:rsidRPr="00E75B45">
              <w:t>годие</w:t>
            </w:r>
            <w:proofErr w:type="spellEnd"/>
            <w:proofErr w:type="gramEnd"/>
          </w:p>
        </w:tc>
      </w:tr>
      <w:tr w:rsidR="00FD163A" w:rsidRPr="00E75B45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6</w:t>
            </w:r>
          </w:p>
        </w:tc>
      </w:tr>
      <w:tr w:rsidR="00FD163A" w:rsidRPr="00E75B45" w:rsidTr="00FD163A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jc w:val="center"/>
            </w:pPr>
            <w:r w:rsidRPr="00E75B45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Общество с ограниченной ответственностью «РУСЭНЕРГОСБЫТ»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15,06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13,83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9,42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5,51</w:t>
            </w:r>
          </w:p>
        </w:tc>
      </w:tr>
    </w:tbl>
    <w:p w:rsidR="00FD163A" w:rsidRPr="00FD163A" w:rsidRDefault="00FD163A" w:rsidP="00FD1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163A" w:rsidRPr="00FD163A" w:rsidRDefault="00FD163A" w:rsidP="00FD1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рег</m:t>
            </m:r>
          </m:sup>
        </m:sSubSup>
      </m:oMath>
      <w:r w:rsidRPr="00FD163A">
        <w:rPr>
          <w:sz w:val="24"/>
          <w:szCs w:val="24"/>
        </w:rPr>
        <w:t xml:space="preserve"> - 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FD163A">
        <w:rPr>
          <w:sz w:val="24"/>
          <w:szCs w:val="24"/>
        </w:rPr>
        <w:t>продаж</w:t>
      </w:r>
      <w:proofErr w:type="gramEnd"/>
      <w:r w:rsidRPr="00FD163A">
        <w:rPr>
          <w:sz w:val="24"/>
          <w:szCs w:val="24"/>
        </w:rPr>
        <w:t xml:space="preserve"> гарантирующих поставщиков, утвержденными приказом ФСТ России от 30 октября 2012 года № 703-э (зарегистрировано в Минюсте России 29 ноября 2012 года, регистрационный № 25975), и указанный в отношении группы «Прочие потребители» </w:t>
      </w:r>
      <w:r w:rsidRPr="00FD163A">
        <w:rPr>
          <w:sz w:val="24"/>
          <w:szCs w:val="24"/>
        </w:rPr>
        <w:br/>
        <w:t>k-</w:t>
      </w:r>
      <w:proofErr w:type="spellStart"/>
      <w:r w:rsidRPr="00FD163A">
        <w:rPr>
          <w:sz w:val="24"/>
          <w:szCs w:val="24"/>
        </w:rPr>
        <w:t>го</w:t>
      </w:r>
      <w:proofErr w:type="spellEnd"/>
      <w:r w:rsidRPr="00FD163A">
        <w:rPr>
          <w:sz w:val="24"/>
          <w:szCs w:val="24"/>
        </w:rPr>
        <w:t xml:space="preserve"> ГП в таблице:</w:t>
      </w:r>
    </w:p>
    <w:p w:rsidR="00FD163A" w:rsidRPr="00FD163A" w:rsidRDefault="00FD163A" w:rsidP="00FD163A">
      <w:pPr>
        <w:spacing w:line="240" w:lineRule="atLeast"/>
        <w:ind w:firstLine="360"/>
        <w:contextualSpacing/>
        <w:jc w:val="both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FD163A" w:rsidRPr="00E75B45" w:rsidTr="00FD163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 xml:space="preserve">№ </w:t>
            </w:r>
            <w:r w:rsidRPr="00E75B45">
              <w:br/>
            </w:r>
            <w:proofErr w:type="gramStart"/>
            <w:r w:rsidRPr="00E75B45">
              <w:t>п</w:t>
            </w:r>
            <w:proofErr w:type="gramEnd"/>
            <w:r w:rsidRPr="00E75B45"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Наименование организации в Ленинградской области</w:t>
            </w:r>
            <w:r w:rsidRPr="00E75B45"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Коэффициент параметров деятельности гарантирующего поставщика, (</w:t>
            </w:r>
            <w:proofErr w:type="spellStart"/>
            <w:r w:rsidRPr="00E75B45">
              <w:t>К</w:t>
            </w:r>
            <w:r w:rsidRPr="00E75B45">
              <w:rPr>
                <w:vertAlign w:val="superscript"/>
              </w:rPr>
              <w:t>рег</w:t>
            </w:r>
            <w:proofErr w:type="spellEnd"/>
            <w:r w:rsidRPr="00E75B45">
              <w:t>)</w:t>
            </w:r>
          </w:p>
        </w:tc>
      </w:tr>
      <w:tr w:rsidR="00FD163A" w:rsidRPr="00E75B45" w:rsidTr="00FD163A">
        <w:trPr>
          <w:cantSplit/>
          <w:trHeight w:val="2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365F91"/>
              </w:rPr>
            </w:pPr>
            <w:r w:rsidRPr="00E75B45">
              <w:t>1 полугодие</w:t>
            </w:r>
          </w:p>
        </w:tc>
      </w:tr>
      <w:tr w:rsidR="00FD163A" w:rsidRPr="00E75B45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3</w:t>
            </w:r>
          </w:p>
        </w:tc>
      </w:tr>
      <w:tr w:rsidR="00FD163A" w:rsidRPr="00E75B45" w:rsidTr="00FD163A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E75B45">
              <w:t>Общество с ограниченной ответственностью ООО «РУСЭНЕРГОСБЫТ»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3A" w:rsidRPr="00E75B45" w:rsidRDefault="00FD163A" w:rsidP="00FD163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FF0000"/>
              </w:rPr>
            </w:pPr>
            <w:r w:rsidRPr="00E75B45">
              <w:t>0,47</w:t>
            </w:r>
          </w:p>
        </w:tc>
      </w:tr>
    </w:tbl>
    <w:p w:rsidR="00FD163A" w:rsidRPr="00FD163A" w:rsidRDefault="00FD163A" w:rsidP="00FD1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163A" w:rsidRPr="00FD163A" w:rsidRDefault="00FD163A" w:rsidP="00FD163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FD163A">
        <w:rPr>
          <w:sz w:val="24"/>
          <w:szCs w:val="24"/>
        </w:rPr>
        <w:t>Представитель НП «Совет рынка» Кириенко М.Г. по вопросу – «воздержалась».</w:t>
      </w:r>
    </w:p>
    <w:p w:rsidR="00FD163A" w:rsidRPr="00FD163A" w:rsidRDefault="00FD163A" w:rsidP="00E75B45">
      <w:pPr>
        <w:tabs>
          <w:tab w:val="left" w:pos="360"/>
          <w:tab w:val="left" w:pos="3268"/>
        </w:tabs>
        <w:ind w:firstLine="567"/>
        <w:jc w:val="both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ab/>
      </w:r>
    </w:p>
    <w:p w:rsidR="00FD163A" w:rsidRPr="00FD163A" w:rsidRDefault="00FD163A" w:rsidP="00F019AF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>Результаты голосования: за – 6 человек, против – 0, воздержались – 1 человек.</w:t>
      </w:r>
    </w:p>
    <w:p w:rsidR="00FD163A" w:rsidRDefault="00FD163A" w:rsidP="007057F1">
      <w:pPr>
        <w:ind w:right="-144" w:firstLine="567"/>
        <w:jc w:val="both"/>
        <w:rPr>
          <w:sz w:val="24"/>
          <w:szCs w:val="24"/>
        </w:rPr>
      </w:pPr>
    </w:p>
    <w:p w:rsidR="00775AB4" w:rsidRDefault="00775AB4" w:rsidP="00775AB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По вопросу повестки дня «Об установлении цен (тарифов) на электрическую энергию (мощность), произведенную на </w:t>
      </w:r>
      <w:proofErr w:type="gramStart"/>
      <w:r>
        <w:rPr>
          <w:b/>
          <w:sz w:val="24"/>
          <w:szCs w:val="24"/>
        </w:rPr>
        <w:t>функционирующем</w:t>
      </w:r>
      <w:proofErr w:type="gramEnd"/>
      <w:r>
        <w:rPr>
          <w:b/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общества с </w:t>
      </w:r>
      <w:proofErr w:type="spellStart"/>
      <w:r>
        <w:rPr>
          <w:b/>
          <w:sz w:val="24"/>
          <w:szCs w:val="24"/>
        </w:rPr>
        <w:t>органиченной</w:t>
      </w:r>
      <w:proofErr w:type="spellEnd"/>
      <w:r>
        <w:rPr>
          <w:b/>
          <w:sz w:val="24"/>
          <w:szCs w:val="24"/>
        </w:rPr>
        <w:t xml:space="preserve"> ответственностью «</w:t>
      </w:r>
      <w:proofErr w:type="spellStart"/>
      <w:r>
        <w:rPr>
          <w:b/>
          <w:sz w:val="24"/>
          <w:szCs w:val="24"/>
        </w:rPr>
        <w:t>Вирео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Энерджи</w:t>
      </w:r>
      <w:proofErr w:type="spellEnd"/>
      <w:r>
        <w:rPr>
          <w:b/>
          <w:sz w:val="24"/>
          <w:szCs w:val="24"/>
        </w:rPr>
        <w:t xml:space="preserve">» (станция активной дегазации полигона ТБО «Новый Свет-Эко» с электростанцией, работающей на свалочном газе) и приобретаемую в целях компенсации потерь в электрических сетях на территории Ленинградской области, на 2018 год» </w:t>
      </w:r>
      <w:r>
        <w:rPr>
          <w:sz w:val="24"/>
          <w:szCs w:val="24"/>
        </w:rPr>
        <w:t>выступила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специалист 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>
        <w:rPr>
          <w:sz w:val="24"/>
          <w:szCs w:val="24"/>
        </w:rPr>
        <w:t>Конощенкова</w:t>
      </w:r>
      <w:proofErr w:type="spellEnd"/>
      <w:r>
        <w:rPr>
          <w:sz w:val="24"/>
          <w:szCs w:val="24"/>
        </w:rPr>
        <w:t xml:space="preserve"> Е.Н. - изложила основные положения «Экспертного заключения по установлению цен (тарифов) на электрическую энергию (мощность), произведенную на </w:t>
      </w:r>
      <w:proofErr w:type="gramStart"/>
      <w:r>
        <w:rPr>
          <w:sz w:val="24"/>
          <w:szCs w:val="24"/>
        </w:rPr>
        <w:t>функционирующем</w:t>
      </w:r>
      <w:proofErr w:type="gramEnd"/>
      <w:r>
        <w:rPr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общества с ограниченной ответственностью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 xml:space="preserve">», (станция активной дегазации полигона ТБО «Новый Свет-Эко» с электростанцией, работающей на свалочном газе) и  </w:t>
      </w:r>
      <w:proofErr w:type="gramStart"/>
      <w:r>
        <w:rPr>
          <w:sz w:val="24"/>
          <w:szCs w:val="24"/>
        </w:rPr>
        <w:t>приобретаемую</w:t>
      </w:r>
      <w:proofErr w:type="gramEnd"/>
      <w:r>
        <w:rPr>
          <w:sz w:val="24"/>
          <w:szCs w:val="24"/>
        </w:rPr>
        <w:t xml:space="preserve"> в целях компенсации потерь в электрических сетях на территории Ленинградской области, на 2018 год» в соответствии с заявлением ООО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 от 27.04.2017 № СП-07/04-2017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ЛенРТК от 27.04.2017 № КТ-1-2401/17-0-0). </w:t>
      </w:r>
    </w:p>
    <w:p w:rsidR="00775AB4" w:rsidRDefault="00775AB4" w:rsidP="00775AB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775AB4" w:rsidRDefault="00775AB4" w:rsidP="00775AB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ООО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Генеральный директор Управляющей компании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ООО «Холдинговая компания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Ющук</w:t>
      </w:r>
      <w:proofErr w:type="spellEnd"/>
      <w:r>
        <w:rPr>
          <w:sz w:val="24"/>
          <w:szCs w:val="24"/>
        </w:rPr>
        <w:t xml:space="preserve"> Алексей Сергеевич</w:t>
      </w:r>
      <w:r>
        <w:rPr>
          <w:sz w:val="24"/>
          <w:szCs w:val="24"/>
          <w:lang w:eastAsia="ar-SA"/>
        </w:rPr>
        <w:t xml:space="preserve"> выразил согласие с</w:t>
      </w:r>
      <w:r>
        <w:rPr>
          <w:sz w:val="24"/>
          <w:szCs w:val="24"/>
        </w:rPr>
        <w:t xml:space="preserve"> предложениями ЛенРТК по уровню тарифов на электрическую энергию (мощность), произведенную на </w:t>
      </w:r>
      <w:proofErr w:type="gramStart"/>
      <w:r>
        <w:rPr>
          <w:sz w:val="24"/>
          <w:szCs w:val="24"/>
        </w:rPr>
        <w:t>функционирующем</w:t>
      </w:r>
      <w:proofErr w:type="gramEnd"/>
      <w:r>
        <w:rPr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ООО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», (станция активной дегазации полигона ТБО «Новый Свет-Эко» с электростанцией, работающей на свалочном газе) и  приобретаемую в целях компенсации потерь в электрических сетях на территории Ленинградской области, на 2018 год (далее – тарифы на электрическую энергию (мощность) генерирующего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 на 2018 год).</w:t>
      </w:r>
    </w:p>
    <w:p w:rsidR="00775AB4" w:rsidRDefault="00775AB4" w:rsidP="00775AB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Генеральный директор Управляющей компании ООО «Холдинговая компания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Ющук</w:t>
      </w:r>
      <w:proofErr w:type="spellEnd"/>
      <w:r>
        <w:rPr>
          <w:sz w:val="24"/>
          <w:szCs w:val="24"/>
        </w:rPr>
        <w:t xml:space="preserve"> Алексей Сергеевич ООО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 в устной форме и письмом от 26.12.2017 № СП-14/12-2017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27.12.2017 № КТ-1-3535/2017) просит рассмотреть возможность учета в будущих периодах регулирования недополученные доходы в сумме </w:t>
      </w:r>
      <w:r>
        <w:rPr>
          <w:sz w:val="24"/>
          <w:szCs w:val="24"/>
        </w:rPr>
        <w:br/>
        <w:t xml:space="preserve">6 880,27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за январь-май 2016 года (до начала установления  ЛенРТК тарифов  на электрическую энергию (мощность), произведенную на функционирующем на основе использования возобновляемых источников энергии квалифицированном генерирующем объекте общества с </w:t>
      </w:r>
      <w:proofErr w:type="spellStart"/>
      <w:r>
        <w:rPr>
          <w:sz w:val="24"/>
          <w:szCs w:val="24"/>
        </w:rPr>
        <w:t>органиченной</w:t>
      </w:r>
      <w:proofErr w:type="spellEnd"/>
      <w:r>
        <w:rPr>
          <w:sz w:val="24"/>
          <w:szCs w:val="24"/>
        </w:rPr>
        <w:t xml:space="preserve"> ответственностью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 xml:space="preserve">» (станция активной дегазации полигона ТБО «Новый Свет-Эко» с </w:t>
      </w:r>
      <w:proofErr w:type="gramStart"/>
      <w:r>
        <w:rPr>
          <w:sz w:val="24"/>
          <w:szCs w:val="24"/>
        </w:rPr>
        <w:t>электростанцией, работающей на свалочном газе) и приобретаемую в целях компенсации потерь в электрических сетях на территории Ленинградской области, на 2016 год, в соответствии с приказом ЛенРТК  от 31.05.2016 № 40-п).</w:t>
      </w:r>
      <w:proofErr w:type="gramEnd"/>
    </w:p>
    <w:p w:rsidR="00775AB4" w:rsidRDefault="00775AB4" w:rsidP="00775A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нормативно-правовая база в области возобновляемой электроэнергетики не дает рекомендаций по вышеуказанному вопросу, председатель ЛенРТК Кийски Артур Валтерович дал поручение отделу регулирования тарифов на электрическую энергию </w:t>
      </w:r>
      <w:proofErr w:type="gramStart"/>
      <w:r>
        <w:rPr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>
        <w:rPr>
          <w:sz w:val="24"/>
          <w:szCs w:val="24"/>
        </w:rPr>
        <w:t xml:space="preserve"> и электрической энергии ЛенРТК направить запрос в ФАС России.</w:t>
      </w:r>
    </w:p>
    <w:p w:rsidR="00775AB4" w:rsidRDefault="00775AB4" w:rsidP="00775AB4">
      <w:pPr>
        <w:ind w:firstLine="567"/>
        <w:jc w:val="both"/>
        <w:rPr>
          <w:sz w:val="24"/>
          <w:szCs w:val="24"/>
        </w:rPr>
      </w:pPr>
    </w:p>
    <w:p w:rsidR="00775AB4" w:rsidRDefault="00775AB4" w:rsidP="00775AB4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775AB4" w:rsidRDefault="00775AB4" w:rsidP="00775AB4">
      <w:pPr>
        <w:ind w:firstLine="567"/>
        <w:jc w:val="both"/>
        <w:rPr>
          <w:snapToGrid w:val="0"/>
          <w:sz w:val="24"/>
          <w:szCs w:val="24"/>
        </w:rPr>
      </w:pPr>
    </w:p>
    <w:p w:rsidR="00775AB4" w:rsidRDefault="00775AB4" w:rsidP="00775AB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Принять для расчета тарифов </w:t>
      </w:r>
      <w:r>
        <w:rPr>
          <w:sz w:val="24"/>
          <w:szCs w:val="24"/>
        </w:rPr>
        <w:t>на электрическую энергию (мощность) генерирующего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 на 2018 год</w:t>
      </w:r>
      <w:r>
        <w:rPr>
          <w:snapToGrid w:val="0"/>
          <w:sz w:val="24"/>
          <w:szCs w:val="24"/>
        </w:rPr>
        <w:t xml:space="preserve"> следующие балансовые показатели: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78"/>
        <w:gridCol w:w="1767"/>
      </w:tblGrid>
      <w:tr w:rsidR="00775AB4" w:rsidTr="00085B8C">
        <w:trPr>
          <w:trHeight w:val="548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4" w:rsidRDefault="00775AB4">
            <w:pPr>
              <w:jc w:val="center"/>
              <w:rPr>
                <w:b/>
                <w:bCs/>
              </w:rPr>
            </w:pPr>
          </w:p>
        </w:tc>
      </w:tr>
      <w:tr w:rsidR="00775AB4" w:rsidTr="00085B8C">
        <w:trPr>
          <w:trHeight w:val="48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r>
              <w:t>Объем полезного отпуска электрической энергии квалифицированного генерирующего объекта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13,6656</w:t>
            </w:r>
          </w:p>
        </w:tc>
      </w:tr>
      <w:tr w:rsidR="00775AB4" w:rsidTr="00085B8C">
        <w:trPr>
          <w:trHeight w:val="6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r>
              <w:t>Установленная  мощность квалифицированного генерирующего объекта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МВт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2,4</w:t>
            </w:r>
          </w:p>
        </w:tc>
      </w:tr>
    </w:tbl>
    <w:p w:rsidR="00775AB4" w:rsidRDefault="00775AB4" w:rsidP="00775AB4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Принять стоимостные показатели (тыс. руб.):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520"/>
        <w:gridCol w:w="3454"/>
        <w:gridCol w:w="1843"/>
        <w:gridCol w:w="1559"/>
        <w:gridCol w:w="2977"/>
      </w:tblGrid>
      <w:tr w:rsidR="00775AB4" w:rsidTr="00085B8C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center"/>
            </w:pPr>
            <w: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Предложение      ООО "</w:t>
            </w:r>
            <w:proofErr w:type="spellStart"/>
            <w:r>
              <w:t>Вирео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Предложение ЛенРТК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Причина корректировки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center"/>
            </w:pPr>
            <w: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5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Постоянные эксплуатационные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71 808,77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41 160,00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 xml:space="preserve">Корректировка расходов в соответствии с распоряжением  Правительства Российской Федерации  от 08.01.2009 N 1-р 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2.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 xml:space="preserve">Переменные </w:t>
            </w:r>
            <w:r w:rsidR="00085B8C">
              <w:t>эксплуатационные</w:t>
            </w:r>
            <w: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323,72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Корректировка расходов в соответствии с п.25 Основ ценообразования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3.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Прибыль налогооблагаемая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61 949,63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54 806,89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/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3.1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Прибыль на возврат инвестированного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18 399,30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17 946,70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Корректировка в соответствии с установленным размером ПИК и средней доходности ДГО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3.2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Доход на инвестированный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39 788,73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36 860,19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B4" w:rsidRDefault="00775AB4"/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3.3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3 761,60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Корректировка расходов в соответствии с п.20 Основ ценообразования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Недополученный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9 940,62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Корректировка расходов в соответствии с п.7 Основ ценообразования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lastRenderedPageBreak/>
              <w:t>5.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>Избыток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3 060,35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pPr>
              <w:jc w:val="center"/>
            </w:pPr>
            <w:r>
              <w:t>Корректировка расходов в соответствии с п.7 Основ ценообразования</w:t>
            </w:r>
          </w:p>
        </w:tc>
      </w:tr>
      <w:tr w:rsidR="00775AB4" w:rsidTr="00085B8C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pPr>
              <w:jc w:val="right"/>
            </w:pPr>
            <w:r>
              <w:t>6.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AB4" w:rsidRDefault="00775AB4">
            <w:r>
              <w:t xml:space="preserve">Необходимая валовая выручка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140 962,39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AB4" w:rsidRDefault="00775AB4">
            <w:pPr>
              <w:jc w:val="center"/>
            </w:pPr>
            <w:r>
              <w:t>95 966,89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AB4" w:rsidRDefault="00775AB4">
            <w:r>
              <w:t> </w:t>
            </w:r>
          </w:p>
        </w:tc>
      </w:tr>
    </w:tbl>
    <w:p w:rsidR="00775AB4" w:rsidRDefault="00775AB4" w:rsidP="00775A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 1 января 2018 года по 31 декабря 2018 года тарифы на электрическую энергию (мощность) генерирующего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Вирео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Энерджи</w:t>
      </w:r>
      <w:proofErr w:type="spellEnd"/>
      <w:r>
        <w:rPr>
          <w:sz w:val="24"/>
          <w:szCs w:val="24"/>
        </w:rPr>
        <w:t>» на 2018 год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следующих размерах:</w:t>
      </w:r>
    </w:p>
    <w:p w:rsidR="00775AB4" w:rsidRDefault="00775AB4" w:rsidP="00775A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4"/>
        <w:gridCol w:w="1415"/>
        <w:gridCol w:w="1547"/>
        <w:gridCol w:w="1486"/>
        <w:gridCol w:w="1415"/>
        <w:gridCol w:w="1547"/>
        <w:gridCol w:w="1486"/>
      </w:tblGrid>
      <w:tr w:rsidR="00775AB4" w:rsidTr="00775AB4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center"/>
            </w:pPr>
            <w:r>
              <w:t>1 полугодие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center"/>
            </w:pPr>
            <w:r>
              <w:t>2 полугодие</w:t>
            </w:r>
          </w:p>
        </w:tc>
      </w:tr>
      <w:tr w:rsidR="00775AB4" w:rsidTr="00775A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/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775AB4" w:rsidTr="00775A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r>
              <w:t>Ставка</w:t>
            </w:r>
          </w:p>
          <w:p w:rsidR="00775AB4" w:rsidRDefault="00775AB4">
            <w:pPr>
              <w:jc w:val="center"/>
            </w:pPr>
            <w:r>
              <w:t>платы за электрическую мощность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r>
              <w:t>Ставка платы за электрическую энергию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center"/>
            </w:pPr>
            <w:r>
              <w:t>Ставка</w:t>
            </w:r>
          </w:p>
          <w:p w:rsidR="00775AB4" w:rsidRDefault="00775AB4">
            <w:pPr>
              <w:jc w:val="center"/>
            </w:pPr>
            <w:r>
              <w:t>платы за электрическую мощность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Ставка платы за электрическую энергию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/>
        </w:tc>
      </w:tr>
      <w:tr w:rsidR="00775AB4" w:rsidTr="00775A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775AB4" w:rsidTr="00775AB4">
        <w:trPr>
          <w:cantSplit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ind w:firstLine="708"/>
              <w:jc w:val="both"/>
            </w:pPr>
            <w:r>
              <w:t>7</w:t>
            </w:r>
          </w:p>
        </w:tc>
      </w:tr>
      <w:tr w:rsidR="00775AB4" w:rsidTr="00775AB4">
        <w:trPr>
          <w:cantSplit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4" w:rsidRDefault="00775AB4">
            <w:pPr>
              <w:jc w:val="both"/>
            </w:pPr>
            <w:r>
              <w:t>ООО «</w:t>
            </w:r>
            <w:proofErr w:type="spellStart"/>
            <w:r>
              <w:t>Вирео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2 333 061,69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1 981,47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6 939,10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2 428 288,70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2 028,72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4" w:rsidRDefault="00775AB4">
            <w:pPr>
              <w:jc w:val="center"/>
            </w:pPr>
            <w:r>
              <w:t>7 104,57</w:t>
            </w:r>
          </w:p>
        </w:tc>
      </w:tr>
    </w:tbl>
    <w:p w:rsidR="00775AB4" w:rsidRDefault="00775AB4" w:rsidP="00775A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НП «Совет рынка» Кириенко М.Г. по вопросу проголосовала – «против».</w:t>
      </w:r>
    </w:p>
    <w:p w:rsidR="00775AB4" w:rsidRDefault="00775AB4" w:rsidP="00775A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5AB4" w:rsidRDefault="00775AB4" w:rsidP="00775AB4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1 человек, воздержались – 0.</w:t>
      </w:r>
    </w:p>
    <w:p w:rsidR="00085B8C" w:rsidRDefault="00085B8C" w:rsidP="00085B8C">
      <w:pPr>
        <w:pStyle w:val="a7"/>
        <w:ind w:firstLine="567"/>
        <w:jc w:val="both"/>
        <w:rPr>
          <w:sz w:val="24"/>
          <w:szCs w:val="24"/>
          <w:lang w:val="ru-RU"/>
        </w:rPr>
      </w:pPr>
    </w:p>
    <w:p w:rsidR="007332F1" w:rsidRDefault="007332F1" w:rsidP="007332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 xml:space="preserve">По вопросу повестки дня «О внесении изменений в приказ комитета по тарифам и ценовой политике Ленинградской области от 13 июля 2012 года № 88-п «Об установлении долгосрочных параметров регулирования для открытого акционерного общества «Ленэнерго»,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области» </w:t>
      </w:r>
      <w:r>
        <w:rPr>
          <w:sz w:val="24"/>
          <w:szCs w:val="24"/>
        </w:rPr>
        <w:t>выступила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консультант отдела регулирования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>
        <w:rPr>
          <w:sz w:val="24"/>
          <w:szCs w:val="24"/>
        </w:rPr>
        <w:t>Малерчук</w:t>
      </w:r>
      <w:proofErr w:type="spellEnd"/>
      <w:r>
        <w:rPr>
          <w:sz w:val="24"/>
          <w:szCs w:val="24"/>
        </w:rPr>
        <w:t xml:space="preserve"> И.В. пояснила, что внесение изменений производится в соответствии с приказом ФАС России от 10 октября 2017 года № 1335/17 «О согласовании Федеральной антимонопольной службой предложений Комитета по тарифам Санкт-Петербурга и комитета по тарифам и ценовой политике Ленинградской области о продлении срока действия долгосрочного периода</w:t>
      </w:r>
      <w:proofErr w:type="gramEnd"/>
      <w:r>
        <w:rPr>
          <w:sz w:val="24"/>
          <w:szCs w:val="24"/>
        </w:rPr>
        <w:t xml:space="preserve"> регулирования тарифов на услуги по передаче электрической энергии с применением метода доходности инвестированного капитала ПАО «Ленэнерго».</w:t>
      </w:r>
    </w:p>
    <w:p w:rsidR="007332F1" w:rsidRDefault="007332F1" w:rsidP="007332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Представитель ПАО «Ленэнерго» - директор по экономике Судакова Татьяна Геннадьевна (действующая по доверенности от 29.11.2016 № 517-16) согласилась с предложенными изменениями.</w:t>
      </w:r>
    </w:p>
    <w:p w:rsidR="007332F1" w:rsidRDefault="007332F1" w:rsidP="007332F1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7332F1" w:rsidRDefault="007332F1" w:rsidP="007332F1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t>Внести в приказ комитета по тарифам и ценовой политике Ленинградской области от 13 июля 2012 года № 88-п «Об установлении долгосрочных параметров регулирования для открытого акционерного общества «Ленэнерго»,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области» следующие изменения:</w:t>
      </w:r>
      <w:proofErr w:type="gramEnd"/>
    </w:p>
    <w:p w:rsidR="007332F1" w:rsidRDefault="007332F1" w:rsidP="007332F1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 Приложение 1 к приказу:</w:t>
      </w:r>
    </w:p>
    <w:p w:rsidR="007332F1" w:rsidRDefault="007332F1" w:rsidP="007332F1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7332F1" w:rsidRDefault="007332F1" w:rsidP="007332F1">
      <w:pPr>
        <w:pStyle w:val="a6"/>
        <w:autoSpaceDE w:val="0"/>
        <w:autoSpaceDN w:val="0"/>
        <w:adjustRightInd w:val="0"/>
        <w:jc w:val="both"/>
        <w:outlineLvl w:val="0"/>
      </w:pPr>
      <w:r>
        <w:t xml:space="preserve">1.1.1.Строку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872"/>
        <w:gridCol w:w="753"/>
        <w:gridCol w:w="753"/>
        <w:gridCol w:w="792"/>
        <w:gridCol w:w="696"/>
        <w:gridCol w:w="551"/>
        <w:gridCol w:w="591"/>
        <w:gridCol w:w="1157"/>
        <w:gridCol w:w="834"/>
        <w:gridCol w:w="793"/>
        <w:gridCol w:w="1174"/>
        <w:gridCol w:w="714"/>
      </w:tblGrid>
      <w:tr w:rsidR="007332F1" w:rsidRPr="007332F1" w:rsidTr="007332F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2017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304,46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0,018495237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1,0102</w:t>
            </w:r>
          </w:p>
        </w:tc>
      </w:tr>
    </w:tbl>
    <w:p w:rsid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</w:p>
    <w:p w:rsid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</w:p>
    <w:p w:rsid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</w:p>
    <w:p w:rsid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Изложить в следующей редакции</w:t>
      </w:r>
    </w:p>
    <w:p w:rsid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872"/>
        <w:gridCol w:w="753"/>
        <w:gridCol w:w="753"/>
        <w:gridCol w:w="792"/>
        <w:gridCol w:w="696"/>
        <w:gridCol w:w="551"/>
        <w:gridCol w:w="591"/>
        <w:gridCol w:w="1157"/>
        <w:gridCol w:w="834"/>
        <w:gridCol w:w="793"/>
        <w:gridCol w:w="1174"/>
        <w:gridCol w:w="714"/>
      </w:tblGrid>
      <w:tr w:rsidR="007332F1" w:rsidRPr="007332F1" w:rsidTr="007332F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2017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304,46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0,018495237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1,0102</w:t>
            </w:r>
          </w:p>
        </w:tc>
      </w:tr>
    </w:tbl>
    <w:p w:rsidR="007332F1" w:rsidRPr="007332F1" w:rsidRDefault="007332F1" w:rsidP="007332F1">
      <w:pPr>
        <w:widowControl w:val="0"/>
        <w:autoSpaceDE w:val="0"/>
        <w:autoSpaceDN w:val="0"/>
        <w:rPr>
          <w:sz w:val="24"/>
          <w:szCs w:val="24"/>
        </w:rPr>
      </w:pPr>
    </w:p>
    <w:p w:rsidR="007332F1" w:rsidRPr="007332F1" w:rsidRDefault="007332F1" w:rsidP="007332F1">
      <w:pPr>
        <w:pStyle w:val="a6"/>
        <w:widowControl w:val="0"/>
        <w:autoSpaceDE w:val="0"/>
        <w:autoSpaceDN w:val="0"/>
        <w:rPr>
          <w:sz w:val="24"/>
          <w:szCs w:val="24"/>
        </w:rPr>
      </w:pPr>
      <w:r w:rsidRPr="007332F1">
        <w:rPr>
          <w:sz w:val="24"/>
          <w:szCs w:val="24"/>
        </w:rPr>
        <w:t>1.1.2. Дополнить строками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872"/>
        <w:gridCol w:w="753"/>
        <w:gridCol w:w="753"/>
        <w:gridCol w:w="792"/>
        <w:gridCol w:w="696"/>
        <w:gridCol w:w="551"/>
        <w:gridCol w:w="591"/>
        <w:gridCol w:w="1157"/>
        <w:gridCol w:w="834"/>
        <w:gridCol w:w="793"/>
        <w:gridCol w:w="1174"/>
        <w:gridCol w:w="714"/>
      </w:tblGrid>
      <w:tr w:rsidR="007332F1" w:rsidRPr="007332F1" w:rsidTr="007332F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229,86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0,018217808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1,0102</w:t>
            </w:r>
          </w:p>
        </w:tc>
      </w:tr>
      <w:tr w:rsidR="007332F1" w:rsidRPr="007332F1" w:rsidTr="007332F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303,77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spacing w:after="200" w:line="276" w:lineRule="auto"/>
              <w:jc w:val="center"/>
              <w:rPr>
                <w:lang w:eastAsia="en-US"/>
              </w:rPr>
            </w:pPr>
            <w:r w:rsidRPr="007332F1"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spacing w:after="200" w:line="276" w:lineRule="auto"/>
              <w:jc w:val="center"/>
              <w:rPr>
                <w:lang w:eastAsia="en-US"/>
              </w:rPr>
            </w:pPr>
            <w:r w:rsidRPr="007332F1">
              <w:t>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0,017944541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1,0102</w:t>
            </w:r>
          </w:p>
        </w:tc>
      </w:tr>
      <w:tr w:rsidR="007332F1" w:rsidRPr="007332F1" w:rsidTr="007332F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404,28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0,017675373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F1" w:rsidRPr="007332F1" w:rsidRDefault="007332F1">
            <w:pPr>
              <w:widowControl w:val="0"/>
              <w:autoSpaceDE w:val="0"/>
              <w:autoSpaceDN w:val="0"/>
              <w:jc w:val="center"/>
            </w:pPr>
            <w:r w:rsidRPr="007332F1">
              <w:t>1,0102</w:t>
            </w:r>
          </w:p>
        </w:tc>
      </w:tr>
    </w:tbl>
    <w:p w:rsidR="007332F1" w:rsidRPr="007332F1" w:rsidRDefault="007332F1" w:rsidP="007332F1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155"/>
        <w:jc w:val="both"/>
        <w:rPr>
          <w:sz w:val="24"/>
          <w:szCs w:val="24"/>
        </w:rPr>
      </w:pPr>
    </w:p>
    <w:p w:rsidR="007332F1" w:rsidRDefault="007332F1" w:rsidP="007332F1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332F1">
        <w:rPr>
          <w:sz w:val="24"/>
          <w:szCs w:val="24"/>
        </w:rPr>
        <w:t>Приложение 2 к приказу изложить в следующей редакции:</w:t>
      </w:r>
    </w:p>
    <w:p w:rsidR="007332F1" w:rsidRDefault="007332F1" w:rsidP="007332F1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1155"/>
        <w:gridCol w:w="3111"/>
      </w:tblGrid>
      <w:tr w:rsidR="007332F1" w:rsidRPr="007332F1" w:rsidTr="007332F1">
        <w:trPr>
          <w:trHeight w:val="678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Год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НВВ сетевой организаций</w:t>
            </w:r>
          </w:p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без учета оплаты потерь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тыс.руб.</w:t>
            </w:r>
          </w:p>
        </w:tc>
      </w:tr>
      <w:tr w:rsidR="007332F1" w:rsidRPr="007332F1" w:rsidTr="007332F1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ПАО «Ленэнерго»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5 893 476,84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8 278 101,15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7 668 773,50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9 342 059,10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10 354 100,38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11 492 750,26</w:t>
            </w:r>
          </w:p>
        </w:tc>
      </w:tr>
      <w:tr w:rsidR="007332F1" w:rsidRPr="007332F1" w:rsidTr="007332F1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14 741 714,60</w:t>
            </w:r>
          </w:p>
        </w:tc>
      </w:tr>
      <w:tr w:rsidR="007332F1" w:rsidRPr="007332F1" w:rsidTr="007332F1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19 917 159,03</w:t>
            </w:r>
          </w:p>
        </w:tc>
      </w:tr>
      <w:tr w:rsidR="007332F1" w:rsidRPr="007332F1" w:rsidTr="007332F1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rPr>
                <w:noProof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2020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F1" w:rsidRPr="007332F1" w:rsidRDefault="007332F1">
            <w:pPr>
              <w:pStyle w:val="a9"/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7332F1">
              <w:rPr>
                <w:noProof/>
                <w:sz w:val="20"/>
                <w:lang w:eastAsia="en-US"/>
              </w:rPr>
              <w:t>33 755 766,56</w:t>
            </w:r>
          </w:p>
        </w:tc>
      </w:tr>
    </w:tbl>
    <w:p w:rsidR="007332F1" w:rsidRPr="007332F1" w:rsidRDefault="007332F1" w:rsidP="007332F1">
      <w:pPr>
        <w:pStyle w:val="a6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32F1">
        <w:rPr>
          <w:sz w:val="24"/>
          <w:szCs w:val="24"/>
        </w:rPr>
        <w:t>В наименовании, по тексту приказа, в приложениях 1, 2 к приказу слова «открытого акционерного общества» заменить словами «публичного акционерного общества».</w:t>
      </w:r>
    </w:p>
    <w:p w:rsidR="007332F1" w:rsidRDefault="007332F1" w:rsidP="007332F1">
      <w:pPr>
        <w:widowControl w:val="0"/>
        <w:autoSpaceDE w:val="0"/>
        <w:autoSpaceDN w:val="0"/>
        <w:adjustRightInd w:val="0"/>
        <w:ind w:firstLine="567"/>
        <w:jc w:val="both"/>
      </w:pPr>
    </w:p>
    <w:p w:rsidR="007332F1" w:rsidRDefault="007332F1" w:rsidP="007332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НП «Совет рынка» Кириенко М.Г. по вопросу – «воздержалась».</w:t>
      </w:r>
    </w:p>
    <w:p w:rsidR="007332F1" w:rsidRDefault="007332F1" w:rsidP="007332F1">
      <w:pPr>
        <w:ind w:right="-144" w:firstLine="567"/>
        <w:jc w:val="both"/>
        <w:rPr>
          <w:b/>
          <w:sz w:val="24"/>
          <w:szCs w:val="24"/>
        </w:rPr>
      </w:pPr>
    </w:p>
    <w:p w:rsidR="007332F1" w:rsidRDefault="007332F1" w:rsidP="007332F1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0, воздержались – 1 человек.</w:t>
      </w:r>
    </w:p>
    <w:p w:rsidR="00085B8C" w:rsidRDefault="00085B8C" w:rsidP="00085B8C">
      <w:pPr>
        <w:pStyle w:val="a7"/>
        <w:ind w:firstLine="567"/>
        <w:jc w:val="both"/>
        <w:rPr>
          <w:sz w:val="24"/>
          <w:szCs w:val="24"/>
          <w:lang w:val="ru-RU"/>
        </w:rPr>
      </w:pPr>
    </w:p>
    <w:p w:rsidR="00085B8C" w:rsidRDefault="00085B8C" w:rsidP="00085B8C">
      <w:pPr>
        <w:pStyle w:val="a7"/>
        <w:ind w:firstLine="567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</w:rPr>
        <w:t xml:space="preserve">По вопросу повестки </w:t>
      </w:r>
      <w:r>
        <w:rPr>
          <w:sz w:val="24"/>
          <w:szCs w:val="24"/>
          <w:lang w:val="ru-RU"/>
        </w:rPr>
        <w:t xml:space="preserve">дня </w:t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Об установлении стандартизированных тарифных ставок, применяемых для расчета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области, на 2018 год»</w:t>
      </w:r>
      <w:r>
        <w:rPr>
          <w:b w:val="0"/>
          <w:sz w:val="24"/>
          <w:szCs w:val="24"/>
        </w:rPr>
        <w:t xml:space="preserve"> выступил </w:t>
      </w:r>
      <w:r>
        <w:rPr>
          <w:b w:val="0"/>
          <w:color w:val="000000"/>
          <w:sz w:val="24"/>
          <w:szCs w:val="24"/>
          <w:lang w:val="ru-RU"/>
        </w:rPr>
        <w:t>Соколов А.Б. - ведущий специалист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ЛенРТК, изложил </w:t>
      </w:r>
      <w:r>
        <w:rPr>
          <w:b w:val="0"/>
          <w:sz w:val="24"/>
          <w:szCs w:val="24"/>
          <w:lang w:val="ru-RU"/>
        </w:rPr>
        <w:t>основные положения экспертного заключения по экономическому обоснованию расчета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Ленинградской области на территории Ленинградской области на 2018 год.</w:t>
      </w:r>
    </w:p>
    <w:p w:rsidR="00085B8C" w:rsidRDefault="00085B8C" w:rsidP="00085B8C">
      <w:pPr>
        <w:ind w:firstLine="567"/>
        <w:jc w:val="both"/>
        <w:rPr>
          <w:sz w:val="24"/>
          <w:szCs w:val="24"/>
          <w:lang w:eastAsia="x-none"/>
        </w:rPr>
      </w:pPr>
      <w:proofErr w:type="gramStart"/>
      <w:r>
        <w:rPr>
          <w:sz w:val="24"/>
          <w:szCs w:val="24"/>
          <w:lang w:eastAsia="x-none"/>
        </w:rPr>
        <w:lastRenderedPageBreak/>
        <w:t>ЗАО «СЗИПК» представлено письмо о согласии с предлагаемым уровнем ставок платы за технологическое присоединение и просьбой рассмотреть вопрос в отсутствие своих представителей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</w:t>
      </w:r>
      <w:proofErr w:type="gramEnd"/>
      <w:r>
        <w:rPr>
          <w:sz w:val="24"/>
          <w:szCs w:val="24"/>
          <w:lang w:eastAsia="x-none"/>
        </w:rPr>
        <w:t xml:space="preserve"> ЛенРТК от 25.12.2017 № КТ-1-3472/2017).</w:t>
      </w:r>
    </w:p>
    <w:p w:rsidR="00085B8C" w:rsidRDefault="00085B8C" w:rsidP="00085B8C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ООО «</w:t>
      </w:r>
      <w:proofErr w:type="spellStart"/>
      <w:r>
        <w:rPr>
          <w:sz w:val="24"/>
          <w:szCs w:val="24"/>
          <w:lang w:eastAsia="x-none"/>
        </w:rPr>
        <w:t>ПетербургГаз</w:t>
      </w:r>
      <w:proofErr w:type="spellEnd"/>
      <w:r>
        <w:rPr>
          <w:sz w:val="24"/>
          <w:szCs w:val="24"/>
          <w:lang w:eastAsia="x-none"/>
        </w:rPr>
        <w:t xml:space="preserve">» </w:t>
      </w:r>
      <w:proofErr w:type="gramStart"/>
      <w:r>
        <w:rPr>
          <w:sz w:val="24"/>
          <w:szCs w:val="24"/>
          <w:lang w:eastAsia="x-none"/>
        </w:rPr>
        <w:t>и ООО</w:t>
      </w:r>
      <w:proofErr w:type="gramEnd"/>
      <w:r>
        <w:rPr>
          <w:sz w:val="24"/>
          <w:szCs w:val="24"/>
          <w:lang w:eastAsia="x-none"/>
        </w:rPr>
        <w:t xml:space="preserve"> «</w:t>
      </w:r>
      <w:r>
        <w:rPr>
          <w:color w:val="000000"/>
          <w:sz w:val="24"/>
          <w:szCs w:val="24"/>
        </w:rPr>
        <w:t>Сигма-</w:t>
      </w:r>
      <w:proofErr w:type="spellStart"/>
      <w:r>
        <w:rPr>
          <w:color w:val="000000"/>
          <w:sz w:val="24"/>
          <w:szCs w:val="24"/>
        </w:rPr>
        <w:t>Энерго</w:t>
      </w:r>
      <w:proofErr w:type="spellEnd"/>
      <w:r>
        <w:rPr>
          <w:color w:val="000000"/>
          <w:sz w:val="24"/>
          <w:szCs w:val="24"/>
        </w:rPr>
        <w:t>» письменную позицию не представили, полномочные представители на заседании правления отсутствовали</w:t>
      </w:r>
      <w:r>
        <w:rPr>
          <w:sz w:val="24"/>
          <w:szCs w:val="24"/>
          <w:lang w:eastAsia="x-none"/>
        </w:rPr>
        <w:t>.</w:t>
      </w:r>
    </w:p>
    <w:p w:rsidR="00085B8C" w:rsidRDefault="00085B8C" w:rsidP="00085B8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Присутствовавшие на заседании </w:t>
      </w:r>
      <w:r>
        <w:rPr>
          <w:color w:val="000000"/>
          <w:sz w:val="24"/>
          <w:szCs w:val="24"/>
        </w:rPr>
        <w:t xml:space="preserve">Правления ЛенРТК представители АО «Газпром газораспределение Ленинградской области» </w:t>
      </w:r>
      <w:proofErr w:type="gramStart"/>
      <w:r>
        <w:rPr>
          <w:color w:val="000000"/>
          <w:sz w:val="24"/>
          <w:szCs w:val="24"/>
        </w:rPr>
        <w:t>Полоз С.</w:t>
      </w:r>
      <w:proofErr w:type="gramEnd"/>
      <w:r>
        <w:rPr>
          <w:color w:val="000000"/>
          <w:sz w:val="24"/>
          <w:szCs w:val="24"/>
        </w:rPr>
        <w:t>А. (действующая по доверенности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№ 14-08 от 29.08.2017) и Филинов А.В. выразили свое несогласие с уровнем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стандартизированной тарифной ставки на покрытие расходов газораспределительной организации,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 более 150 метров, </w:t>
      </w:r>
      <w:r>
        <w:rPr>
          <w:color w:val="000000"/>
          <w:sz w:val="24"/>
          <w:szCs w:val="24"/>
        </w:rPr>
        <w:t>и представили в письменном виде особое мнение (</w:t>
      </w:r>
      <w:proofErr w:type="spellStart"/>
      <w:r>
        <w:rPr>
          <w:color w:val="000000"/>
          <w:sz w:val="24"/>
          <w:szCs w:val="24"/>
        </w:rPr>
        <w:t>вх</w:t>
      </w:r>
      <w:proofErr w:type="spellEnd"/>
      <w:r>
        <w:rPr>
          <w:color w:val="000000"/>
          <w:sz w:val="24"/>
          <w:szCs w:val="24"/>
        </w:rPr>
        <w:t>. от 27.12.2017 № КТ-1-3537/2017) по данному вопросу.</w:t>
      </w:r>
    </w:p>
    <w:p w:rsidR="00085B8C" w:rsidRDefault="00085B8C" w:rsidP="00085B8C">
      <w:pPr>
        <w:ind w:firstLine="567"/>
        <w:jc w:val="both"/>
        <w:rPr>
          <w:sz w:val="24"/>
          <w:szCs w:val="24"/>
          <w:lang w:eastAsia="x-none"/>
        </w:rPr>
      </w:pPr>
    </w:p>
    <w:p w:rsidR="00085B8C" w:rsidRDefault="00085B8C" w:rsidP="00085B8C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085B8C" w:rsidRDefault="00085B8C" w:rsidP="00085B8C">
      <w:pPr>
        <w:ind w:firstLine="567"/>
        <w:rPr>
          <w:sz w:val="24"/>
          <w:szCs w:val="24"/>
        </w:rPr>
      </w:pPr>
    </w:p>
    <w:p w:rsidR="00085B8C" w:rsidRDefault="00085B8C" w:rsidP="00085B8C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Установить следующие стандартизированные тарифные </w:t>
      </w:r>
      <w:hyperlink r:id="rId27" w:history="1">
        <w:r>
          <w:rPr>
            <w:rStyle w:val="a5"/>
            <w:color w:val="000000"/>
            <w:sz w:val="24"/>
            <w:szCs w:val="24"/>
          </w:rPr>
          <w:t>ставки</w:t>
        </w:r>
      </w:hyperlink>
      <w:r>
        <w:rPr>
          <w:sz w:val="24"/>
          <w:szCs w:val="24"/>
        </w:rPr>
        <w:t>, используемые для определения размера платы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области, перечисленных в приложении № 1 к настоящему приказу,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менее, кроме случаев присоединения газоиспользующего оборудования с максимальным расходом газа, не превышающим 15 куб. метров в час, с учетом расхода газа,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 максимальным расходом газа, не превышающим 5 куб. метров в час, с учетом расхода газа, ранее подключенного в данной точке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</w:t>
      </w:r>
      <w:proofErr w:type="gramEnd"/>
      <w:r>
        <w:rPr>
          <w:sz w:val="24"/>
          <w:szCs w:val="24"/>
        </w:rPr>
        <w:t xml:space="preserve"> газа), а также установления платы за технологическое присоединение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</w:t>
      </w: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8"/>
        <w:gridCol w:w="141"/>
        <w:gridCol w:w="2272"/>
      </w:tblGrid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Перечень стандартизированных ставок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ед. изм.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Стандартизированная тарифная ставка </w:t>
            </w:r>
            <w:r>
              <w:rPr>
                <w:rFonts w:eastAsia="Calibri"/>
                <w:b/>
                <w:lang w:eastAsia="en-US"/>
              </w:rPr>
              <w:br/>
              <w:t>(без НДС)</w:t>
            </w:r>
          </w:p>
        </w:tc>
      </w:tr>
      <w:tr w:rsidR="00085B8C" w:rsidTr="00085B8C">
        <w:trPr>
          <w:cantSplit/>
          <w:tblHeader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</w:t>
            </w:r>
            <w:proofErr w:type="gramStart"/>
            <w:r>
              <w:rPr>
                <w:rFonts w:eastAsia="Calibri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стандартизированная тарифная ставка на покрытие расходов газораспределительной организации,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ценах периода</w:t>
            </w:r>
          </w:p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регулирования</w:t>
            </w:r>
          </w:p>
        </w:tc>
      </w:tr>
      <w:tr w:rsidR="00085B8C" w:rsidTr="00085B8C">
        <w:trPr>
          <w:cantSplit/>
          <w:trHeight w:val="64"/>
          <w:tblHeader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более 150 метров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руб./ед.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644 759,84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</w:t>
            </w:r>
            <w:proofErr w:type="gramStart"/>
            <w:r>
              <w:rPr>
                <w:rFonts w:eastAsia="Calibri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стандартизированная тарифная ставка на покрытие расходов газораспределительной организации,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ценах периода </w:t>
            </w:r>
          </w:p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регулирования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150 метров и менее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руб./куб. метров в час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</w:pPr>
            <w:r>
              <w:rPr>
                <w:rFonts w:eastAsia="Calibri"/>
                <w:lang w:eastAsia="en-US"/>
              </w:rPr>
              <w:t>5 845,29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С4</w:t>
            </w:r>
            <w:r>
              <w:rPr>
                <w:rFonts w:eastAsia="Calibri"/>
                <w:vertAlign w:val="subscript"/>
                <w:lang w:eastAsia="en-US"/>
              </w:rPr>
              <w:t>k</w:t>
            </w:r>
            <w:r>
              <w:rPr>
                <w:rFonts w:eastAsia="Calibri"/>
                <w:lang w:eastAsia="en-US"/>
              </w:rPr>
              <w:t xml:space="preserve"> - стандартизированная тарифная ставка на покрытие расходов газораспределительной организации, связанных со строительством (реконструкцией) полиэтиленового газопровода k-того диапазона диаметров,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 более 150 метров, в том числе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highlight w:val="lightGray"/>
              </w:rPr>
            </w:pPr>
            <w:r>
              <w:rPr>
                <w:rFonts w:eastAsia="Calibri"/>
                <w:lang w:eastAsia="en-US"/>
              </w:rPr>
              <w:t>В ценах ТЕР-2001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 мм и менее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325 967,88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110 - 159 мм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489 874,77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160 - 224 мм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600 035,94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225 - 314 мм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781 825,69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315 - 399 мм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1 140 874,92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</w:t>
            </w:r>
            <w:r>
              <w:rPr>
                <w:rFonts w:eastAsia="Calibri"/>
                <w:i/>
                <w:vertAlign w:val="subscript"/>
                <w:lang w:eastAsia="en-US"/>
              </w:rPr>
              <w:t>5</w:t>
            </w:r>
            <w:r>
              <w:rPr>
                <w:rFonts w:eastAsia="Calibri"/>
                <w:vertAlign w:val="subscript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 xml:space="preserve">стандартизированная тарифная ставка на покрытие расходов газораспределительной организации, связанных со строительством (реконструкцией) газопроводов всех диаметров, материалов труб и типов прокладки,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ценах ТЕР-2001</w:t>
            </w:r>
          </w:p>
        </w:tc>
      </w:tr>
      <w:tr w:rsidR="00085B8C" w:rsidTr="00085B8C">
        <w:trPr>
          <w:cantSplit/>
          <w:trHeight w:val="6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метров и менее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руб./куб. метров в час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3 137,91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>С</w:t>
            </w:r>
            <w:r>
              <w:rPr>
                <w:rFonts w:eastAsia="Calibri"/>
                <w:i/>
                <w:vertAlign w:val="subscript"/>
                <w:lang w:eastAsia="en-US"/>
              </w:rPr>
              <w:t>8</w:t>
            </w:r>
            <w:proofErr w:type="spellStart"/>
            <w:r>
              <w:rPr>
                <w:rFonts w:eastAsia="Calibri"/>
                <w:i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eastAsia="en-US"/>
              </w:rPr>
              <w:t xml:space="preserve"> - стандартизированные тарифные ставки на покрытие расходов газораспределительной организации,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</w:t>
            </w:r>
            <w:r>
              <w:rPr>
                <w:rFonts w:eastAsia="Calibri"/>
                <w:u w:val="single"/>
                <w:lang w:eastAsia="en-US"/>
              </w:rPr>
              <w:t>стального</w:t>
            </w:r>
            <w:r>
              <w:rPr>
                <w:rFonts w:eastAsia="Calibri"/>
                <w:lang w:eastAsia="en-US"/>
              </w:rPr>
              <w:t xml:space="preserve"> газопровода газораспределительной организации и проведением пуска газа, в диапазоне диаметров, в том числе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ценах периода</w:t>
            </w:r>
          </w:p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регулирования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158 мм и менее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36 011,87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159 - 218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37 659,76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219 - 272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37 921,01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273 - 324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38 945,92</w:t>
            </w:r>
          </w:p>
        </w:tc>
      </w:tr>
    </w:tbl>
    <w:p w:rsidR="00085B8C" w:rsidRDefault="00085B8C" w:rsidP="00085B8C">
      <w:pPr>
        <w:ind w:firstLine="567"/>
        <w:rPr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8"/>
        <w:gridCol w:w="141"/>
        <w:gridCol w:w="2272"/>
      </w:tblGrid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Перечень стандартизированных ставок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ед. изм.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Стандартизированная тарифная ставка </w:t>
            </w:r>
            <w:r>
              <w:rPr>
                <w:rFonts w:eastAsia="Calibri"/>
                <w:b/>
                <w:lang w:eastAsia="en-US"/>
              </w:rPr>
              <w:br/>
              <w:t>(без НДС)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roofErr w:type="gramStart"/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8</w:t>
            </w:r>
            <w:r>
              <w:rPr>
                <w:i/>
                <w:vertAlign w:val="subscript"/>
                <w:lang w:val="en-US"/>
              </w:rPr>
              <w:t>k</w:t>
            </w:r>
            <w:r w:rsidRPr="00085B8C">
              <w:rPr>
                <w:i/>
              </w:rPr>
              <w:t xml:space="preserve"> </w:t>
            </w:r>
            <w:r>
              <w:t xml:space="preserve">- стандартизированные тарифные ставки на покрытие расходов газораспределительной организации,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</w:t>
            </w:r>
            <w:r>
              <w:rPr>
                <w:u w:val="single"/>
              </w:rPr>
              <w:t>полиэтиленового газопровода</w:t>
            </w:r>
            <w:r>
              <w:t xml:space="preserve"> газораспределительной организации и проведением пуска газа,  в диапазоне диаметров, в том числе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</w:pPr>
            <w:r>
              <w:t>В ценах периода</w:t>
            </w:r>
          </w:p>
          <w:p w:rsidR="00085B8C" w:rsidRDefault="00085B8C">
            <w:pPr>
              <w:jc w:val="center"/>
            </w:pPr>
            <w:r>
              <w:t xml:space="preserve"> регулирования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109 мм и менее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33 796,58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110 - 159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34 343,11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160 - 224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35 132,51</w:t>
            </w:r>
          </w:p>
        </w:tc>
      </w:tr>
      <w:tr w:rsidR="00085B8C" w:rsidTr="00085B8C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225 - 314 мм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8C" w:rsidRDefault="00085B8C">
            <w:pPr>
              <w:jc w:val="center"/>
            </w:pPr>
            <w: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8C" w:rsidRDefault="0008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36 392,46</w:t>
            </w:r>
          </w:p>
        </w:tc>
      </w:tr>
    </w:tbl>
    <w:p w:rsidR="00085B8C" w:rsidRDefault="00085B8C" w:rsidP="00085B8C">
      <w:pPr>
        <w:ind w:right="-144"/>
        <w:jc w:val="center"/>
        <w:rPr>
          <w:b/>
          <w:sz w:val="24"/>
          <w:szCs w:val="24"/>
        </w:rPr>
      </w:pPr>
    </w:p>
    <w:p w:rsidR="00085B8C" w:rsidRDefault="00085B8C" w:rsidP="00085B8C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D163A" w:rsidRDefault="00FD163A" w:rsidP="007057F1">
      <w:pPr>
        <w:ind w:right="-144" w:firstLine="567"/>
        <w:jc w:val="both"/>
        <w:rPr>
          <w:sz w:val="24"/>
          <w:szCs w:val="24"/>
        </w:rPr>
      </w:pPr>
    </w:p>
    <w:p w:rsidR="00FD163A" w:rsidRDefault="00FD163A" w:rsidP="007057F1">
      <w:pPr>
        <w:ind w:right="-144" w:firstLine="567"/>
        <w:jc w:val="both"/>
        <w:rPr>
          <w:sz w:val="24"/>
          <w:szCs w:val="24"/>
        </w:rPr>
      </w:pPr>
    </w:p>
    <w:p w:rsidR="00FD163A" w:rsidRDefault="00FD163A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332F1">
      <w:headerReference w:type="default" r:id="rId2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F1" w:rsidRDefault="007332F1" w:rsidP="007332F1">
      <w:r>
        <w:separator/>
      </w:r>
    </w:p>
  </w:endnote>
  <w:endnote w:type="continuationSeparator" w:id="0">
    <w:p w:rsidR="007332F1" w:rsidRDefault="007332F1" w:rsidP="007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F1" w:rsidRDefault="007332F1" w:rsidP="007332F1">
      <w:r>
        <w:separator/>
      </w:r>
    </w:p>
  </w:footnote>
  <w:footnote w:type="continuationSeparator" w:id="0">
    <w:p w:rsidR="007332F1" w:rsidRDefault="007332F1" w:rsidP="0073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5032"/>
      <w:docPartObj>
        <w:docPartGallery w:val="Page Numbers (Top of Page)"/>
        <w:docPartUnique/>
      </w:docPartObj>
    </w:sdtPr>
    <w:sdtContent>
      <w:p w:rsidR="007332F1" w:rsidRDefault="007332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7F">
          <w:rPr>
            <w:noProof/>
          </w:rPr>
          <w:t>20</w:t>
        </w:r>
        <w:r>
          <w:fldChar w:fldCharType="end"/>
        </w:r>
      </w:p>
    </w:sdtContent>
  </w:sdt>
  <w:p w:rsidR="007332F1" w:rsidRDefault="007332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AAD"/>
    <w:multiLevelType w:val="hybridMultilevel"/>
    <w:tmpl w:val="5992C51A"/>
    <w:lvl w:ilvl="0" w:tplc="E86287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B00C3"/>
    <w:multiLevelType w:val="multilevel"/>
    <w:tmpl w:val="E88E1F16"/>
    <w:lvl w:ilvl="0">
      <w:start w:val="1"/>
      <w:numFmt w:val="decimal"/>
      <w:lvlText w:val="%1."/>
      <w:lvlJc w:val="left"/>
      <w:pPr>
        <w:ind w:left="1155" w:hanging="115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">
    <w:nsid w:val="6ADD724B"/>
    <w:multiLevelType w:val="hybridMultilevel"/>
    <w:tmpl w:val="E8AEF33E"/>
    <w:lvl w:ilvl="0" w:tplc="34227826">
      <w:start w:val="1"/>
      <w:numFmt w:val="decimal"/>
      <w:lvlText w:val="%1."/>
      <w:lvlJc w:val="left"/>
      <w:pPr>
        <w:ind w:left="1443" w:hanging="876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FAE7DE6"/>
    <w:multiLevelType w:val="hybridMultilevel"/>
    <w:tmpl w:val="5EE040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5B8C"/>
    <w:rsid w:val="0015227D"/>
    <w:rsid w:val="001620E2"/>
    <w:rsid w:val="001B7570"/>
    <w:rsid w:val="002627EB"/>
    <w:rsid w:val="003008C4"/>
    <w:rsid w:val="003B6B87"/>
    <w:rsid w:val="00476461"/>
    <w:rsid w:val="005A40CD"/>
    <w:rsid w:val="007057F1"/>
    <w:rsid w:val="007244AB"/>
    <w:rsid w:val="007332F1"/>
    <w:rsid w:val="007753ED"/>
    <w:rsid w:val="00775AB4"/>
    <w:rsid w:val="00840AFD"/>
    <w:rsid w:val="0084613E"/>
    <w:rsid w:val="00894DB5"/>
    <w:rsid w:val="00932E36"/>
    <w:rsid w:val="009A63CA"/>
    <w:rsid w:val="00A34C6B"/>
    <w:rsid w:val="00AA6F7F"/>
    <w:rsid w:val="00BD37E4"/>
    <w:rsid w:val="00E75B45"/>
    <w:rsid w:val="00E93883"/>
    <w:rsid w:val="00F019AF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16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163A"/>
    <w:pPr>
      <w:ind w:left="720"/>
      <w:contextualSpacing/>
    </w:pPr>
  </w:style>
  <w:style w:type="paragraph" w:styleId="a7">
    <w:name w:val="Title"/>
    <w:basedOn w:val="a"/>
    <w:link w:val="a8"/>
    <w:qFormat/>
    <w:rsid w:val="00085B8C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085B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a"/>
    <w:unhideWhenUsed/>
    <w:rsid w:val="007332F1"/>
    <w:pPr>
      <w:jc w:val="both"/>
    </w:pPr>
    <w:rPr>
      <w:sz w:val="32"/>
    </w:rPr>
  </w:style>
  <w:style w:type="character" w:customStyle="1" w:styleId="aa">
    <w:name w:val="Основной текст Знак"/>
    <w:basedOn w:val="a0"/>
    <w:link w:val="a9"/>
    <w:rsid w:val="007332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33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3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3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16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163A"/>
    <w:pPr>
      <w:ind w:left="720"/>
      <w:contextualSpacing/>
    </w:pPr>
  </w:style>
  <w:style w:type="paragraph" w:styleId="a7">
    <w:name w:val="Title"/>
    <w:basedOn w:val="a"/>
    <w:link w:val="a8"/>
    <w:qFormat/>
    <w:rsid w:val="00085B8C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085B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a"/>
    <w:unhideWhenUsed/>
    <w:rsid w:val="007332F1"/>
    <w:pPr>
      <w:jc w:val="both"/>
    </w:pPr>
    <w:rPr>
      <w:sz w:val="32"/>
    </w:rPr>
  </w:style>
  <w:style w:type="character" w:customStyle="1" w:styleId="aa">
    <w:name w:val="Основной текст Знак"/>
    <w:basedOn w:val="a0"/>
    <w:link w:val="a9"/>
    <w:rsid w:val="007332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33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3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3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F09FA8BEC78B0FABAEE0FDD9A414DA9A4CEB68741534E49F5A1201118761B7EA927B3CEBDP2v4K" TargetMode="External"/><Relationship Id="rId13" Type="http://schemas.openxmlformats.org/officeDocument/2006/relationships/hyperlink" Target="consultantplus://offline/ref=8604C7BC86BB73EF8F8876C3BF9ED1C4BD6E93CDA2D52A084FE621A5979F2100773B86351598m2x7K" TargetMode="External"/><Relationship Id="rId18" Type="http://schemas.openxmlformats.org/officeDocument/2006/relationships/hyperlink" Target="consultantplus://offline/ref=33E90902238CAB5EF95D4D9352F121139AFD0B0FF7CC2285D47F0CC2F8F08A1423756B7ECC9Am4vDK" TargetMode="External"/><Relationship Id="rId26" Type="http://schemas.openxmlformats.org/officeDocument/2006/relationships/hyperlink" Target="consultantplus://offline/ref=33E90902238CAB5EF95D4D9352F121139AFD0B0FF7CC2285D47F0CC2F8F08A1423756B7ECC9Am4v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BC5CC3FEA2DB2D66BC919A4599073B5045E90F9588F1B1439DD9569ABE75C9B591B6166723WF0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90902238CAB5EF95D4D9352F121139AFD0B0FF7CC2285D47F0CC2F8F08A1423756B7ECC9Am4vDK" TargetMode="External"/><Relationship Id="rId17" Type="http://schemas.openxmlformats.org/officeDocument/2006/relationships/hyperlink" Target="consultantplus://offline/ref=0A1F09FA8BEC78B0FABAEE0FDD9A414DA9A4CEB68741534E49F5A1201118761B7EA927B3CEBDP2v4K" TargetMode="External"/><Relationship Id="rId25" Type="http://schemas.openxmlformats.org/officeDocument/2006/relationships/hyperlink" Target="consultantplus://offline/ref=0A1F09FA8BEC78B0FABAEE0FDD9A414DA9A4CEB68741534E49F5A1201118761B7EA927B3CEBDP2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C84E36EA926F1436A117A1BF1F297DC8021A90C146814C5ECD1AB3D3560C866EA67A132C3hCy2K" TargetMode="External"/><Relationship Id="rId20" Type="http://schemas.openxmlformats.org/officeDocument/2006/relationships/hyperlink" Target="consultantplus://offline/ref=33E90902238CAB5EF95D4D9352F121139AFD0B0FF7CC2285D47F0CC2F8F08A1423756B7ECC9Am4v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F09FA8BEC78B0FABAEE0FDD9A414DA9A4CEB68741534E49F5A1201118761B7EA927B3CEBDP2v4K" TargetMode="External"/><Relationship Id="rId24" Type="http://schemas.openxmlformats.org/officeDocument/2006/relationships/hyperlink" Target="consultantplus://offline/ref=7E5F280DF014E050F6674BCA2B77460FEEE9DCD9CFFEFDD08604E1E64702D6EAE2D5AA058FFDL82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E90902238CAB5EF95D4D9352F121139AFD0B0FF7CC2285D47F0CC2F8F08A1423756B7ECC9Am4vDK" TargetMode="External"/><Relationship Id="rId23" Type="http://schemas.openxmlformats.org/officeDocument/2006/relationships/hyperlink" Target="consultantplus://offline/ref=33E90902238CAB5EF95D4D9352F121139AFD0B0FF7CC2285D47F0CC2F8F08A1423756B7ECC9Am4v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1925D5DA8F815B5971FC88FDF8FE48744A708194295380276FB78CC00DB0DE1D2F29AB7E20CLCw0K" TargetMode="External"/><Relationship Id="rId19" Type="http://schemas.openxmlformats.org/officeDocument/2006/relationships/hyperlink" Target="consultantplus://offline/ref=0A1F09FA8BEC78B0FABAEE0FDD9A414DA9A4CEB68741534E49F5A1201118761B7EA927B3CEBDP2v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90902238CAB5EF95D4D9352F121139AFD0B0FF7CC2285D47F0CC2F8F08A1423756B7ECC9Am4vDK" TargetMode="External"/><Relationship Id="rId14" Type="http://schemas.openxmlformats.org/officeDocument/2006/relationships/hyperlink" Target="consultantplus://offline/ref=0A1F09FA8BEC78B0FABAEE0FDD9A414DA9A4CEB68741534E49F5A1201118761B7EA927B3CEBDP2v4K" TargetMode="External"/><Relationship Id="rId22" Type="http://schemas.openxmlformats.org/officeDocument/2006/relationships/hyperlink" Target="consultantplus://offline/ref=0A1F09FA8BEC78B0FABAEE0FDD9A414DA9A4CEB68741534E49F5A1201118761B7EA927B3CEBDP2v4K" TargetMode="External"/><Relationship Id="rId27" Type="http://schemas.openxmlformats.org/officeDocument/2006/relationships/hyperlink" Target="consultantplus://offline/ref=5F7DC8555414F793EA89FA34F7CBFE294455B70E64B1F391630A44D8BE975C921C23615437CD6A373772DFR9H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8769</Words>
  <Characters>49986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27</cp:revision>
  <cp:lastPrinted>2018-01-11T10:23:00Z</cp:lastPrinted>
  <dcterms:created xsi:type="dcterms:W3CDTF">2014-10-27T07:45:00Z</dcterms:created>
  <dcterms:modified xsi:type="dcterms:W3CDTF">2018-01-11T10:26:00Z</dcterms:modified>
</cp:coreProperties>
</file>