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45C80">
        <w:rPr>
          <w:b/>
          <w:color w:val="000000"/>
          <w:sz w:val="24"/>
          <w:szCs w:val="24"/>
        </w:rPr>
        <w:t>30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45C80" w:rsidP="007057F1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</w:t>
      </w:r>
      <w:r>
        <w:rPr>
          <w:sz w:val="24"/>
          <w:szCs w:val="24"/>
        </w:rPr>
        <w:t xml:space="preserve">                               </w:t>
      </w:r>
      <w:r w:rsidR="007057F1">
        <w:rPr>
          <w:sz w:val="24"/>
          <w:szCs w:val="24"/>
        </w:rPr>
        <w:t xml:space="preserve">                                            </w:t>
      </w:r>
      <w:r w:rsidR="005A40CD">
        <w:rPr>
          <w:sz w:val="24"/>
          <w:szCs w:val="24"/>
        </w:rPr>
        <w:t xml:space="preserve">                       </w:t>
      </w:r>
      <w:r w:rsidR="003B5D22">
        <w:rPr>
          <w:sz w:val="24"/>
          <w:szCs w:val="24"/>
        </w:rPr>
        <w:t xml:space="preserve">  </w:t>
      </w:r>
      <w:r w:rsidR="005A40CD">
        <w:rPr>
          <w:sz w:val="24"/>
          <w:szCs w:val="24"/>
        </w:rPr>
        <w:t>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845C80" w:rsidRPr="00845C80" w:rsidRDefault="002627EB" w:rsidP="00845C80">
      <w:pPr>
        <w:tabs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845C80" w:rsidRPr="00845C80">
        <w:rPr>
          <w:sz w:val="24"/>
          <w:szCs w:val="24"/>
        </w:rPr>
        <w:t>Свиридова Татьяна Львовна,</w:t>
      </w:r>
      <w:r w:rsidR="00845C80" w:rsidRPr="00845C80">
        <w:rPr>
          <w:b/>
          <w:sz w:val="24"/>
          <w:szCs w:val="24"/>
        </w:rPr>
        <w:t xml:space="preserve"> </w:t>
      </w:r>
      <w:r w:rsidR="00845C80" w:rsidRPr="00845C80">
        <w:rPr>
          <w:sz w:val="24"/>
          <w:szCs w:val="24"/>
        </w:rPr>
        <w:t>Чащихина Светлана Георгиевна,</w:t>
      </w:r>
      <w:r w:rsidR="00845C80" w:rsidRPr="00845C80">
        <w:rPr>
          <w:b/>
          <w:sz w:val="24"/>
          <w:szCs w:val="24"/>
        </w:rPr>
        <w:t xml:space="preserve"> </w:t>
      </w:r>
      <w:r w:rsidR="00845C80" w:rsidRPr="00845C80">
        <w:rPr>
          <w:sz w:val="24"/>
          <w:szCs w:val="24"/>
        </w:rPr>
        <w:t>Зороян Сурен Георгиевич, Кремнева Наталья Николаевна, Курылко Светлана Анатольевна.</w:t>
      </w:r>
    </w:p>
    <w:p w:rsidR="00845C80" w:rsidRPr="00845C80" w:rsidRDefault="00845C80" w:rsidP="00845C80">
      <w:pPr>
        <w:tabs>
          <w:tab w:val="left" w:pos="567"/>
          <w:tab w:val="left" w:pos="709"/>
        </w:tabs>
        <w:ind w:firstLine="567"/>
        <w:jc w:val="both"/>
        <w:rPr>
          <w:b/>
          <w:sz w:val="24"/>
          <w:szCs w:val="24"/>
        </w:rPr>
      </w:pPr>
      <w:r w:rsidRPr="00845C80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845C80">
        <w:rPr>
          <w:sz w:val="24"/>
          <w:szCs w:val="24"/>
        </w:rPr>
        <w:t>Загребельный</w:t>
      </w:r>
      <w:proofErr w:type="spellEnd"/>
      <w:r w:rsidRPr="00845C80">
        <w:rPr>
          <w:sz w:val="24"/>
          <w:szCs w:val="24"/>
        </w:rPr>
        <w:t xml:space="preserve"> Никита Евгеньевич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845C80" w:rsidRDefault="00845C80" w:rsidP="00845C80">
      <w:pPr>
        <w:pStyle w:val="a"/>
      </w:pPr>
      <w:proofErr w:type="gramStart"/>
      <w:r>
        <w:t>О внесении изменений в приказ комитета по тарифам и ценовой политике Ленинградской области от 19 декабря 2017 года № 646-п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2018 году».</w:t>
      </w:r>
      <w:proofErr w:type="gramEnd"/>
    </w:p>
    <w:p w:rsidR="00845C80" w:rsidRDefault="00845C80" w:rsidP="00845C80">
      <w:pPr>
        <w:pStyle w:val="a"/>
      </w:pPr>
      <w:proofErr w:type="gramStart"/>
      <w:r>
        <w:t>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году».</w:t>
      </w:r>
      <w:proofErr w:type="gramEnd"/>
    </w:p>
    <w:p w:rsidR="00845C80" w:rsidRDefault="00845C80" w:rsidP="00845C80">
      <w:pPr>
        <w:pStyle w:val="a"/>
      </w:pPr>
      <w:r>
        <w:t>О внесении изменений в приказ комитета по тарифам и ценовой политике Ленинградской области от 19 апреля 2018 года № 33-п «Об установлении тарифов на водоотведение общества с ограниченной ответственностью «</w:t>
      </w:r>
      <w:proofErr w:type="spellStart"/>
      <w:r>
        <w:t>Ленстрой</w:t>
      </w:r>
      <w:proofErr w:type="spellEnd"/>
      <w:r>
        <w:t>» на 2018 год».</w:t>
      </w:r>
    </w:p>
    <w:p w:rsidR="00845C80" w:rsidRDefault="00845C80" w:rsidP="00845C80">
      <w:pPr>
        <w:pStyle w:val="a"/>
      </w:pPr>
      <w:r>
        <w:t>Об установлении тарифов за подключение (технологическое присоединение) к централизованной системе водоотведения акционерного общества «Коммунальные системы Гатчинского района» на территории муниципального образования «</w:t>
      </w:r>
      <w:proofErr w:type="spellStart"/>
      <w:r>
        <w:t>Вырицкое</w:t>
      </w:r>
      <w:proofErr w:type="spellEnd"/>
      <w:r>
        <w:t xml:space="preserve"> городское поселение» Гатчинского муниципального района Ленинградской области, на 2018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400BBF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2017 года № 646-п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2018 году» </w:t>
      </w:r>
      <w:r w:rsidRPr="00400BBF">
        <w:rPr>
          <w:sz w:val="24"/>
          <w:szCs w:val="24"/>
        </w:rPr>
        <w:t>выступила начальник отдела</w:t>
      </w:r>
      <w:proofErr w:type="gramEnd"/>
      <w:r w:rsidRPr="00400BBF">
        <w:rPr>
          <w:sz w:val="24"/>
          <w:szCs w:val="24"/>
        </w:rPr>
        <w:t xml:space="preserve"> регулирования тарифов (цен) в сфере </w:t>
      </w:r>
      <w:proofErr w:type="gramStart"/>
      <w:r w:rsidRPr="00400BBF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400BBF">
        <w:rPr>
          <w:sz w:val="24"/>
          <w:szCs w:val="24"/>
        </w:rPr>
        <w:t xml:space="preserve"> и электрической энергии комитета Курылко С.А. сообщила, что ОАО «Управление жилищно-коммунальным хозяйством Тихвинского района»</w:t>
      </w:r>
      <w:r w:rsidRPr="00400BBF">
        <w:rPr>
          <w:b/>
          <w:sz w:val="24"/>
          <w:szCs w:val="24"/>
        </w:rPr>
        <w:t xml:space="preserve"> </w:t>
      </w:r>
      <w:r w:rsidRPr="00400BBF">
        <w:rPr>
          <w:sz w:val="24"/>
          <w:szCs w:val="24"/>
        </w:rPr>
        <w:t xml:space="preserve">является </w:t>
      </w:r>
      <w:proofErr w:type="spellStart"/>
      <w:r w:rsidRPr="00400BBF">
        <w:rPr>
          <w:sz w:val="24"/>
          <w:szCs w:val="24"/>
        </w:rPr>
        <w:t>ресурсоснабжающей</w:t>
      </w:r>
      <w:proofErr w:type="spellEnd"/>
      <w:r w:rsidRPr="00400BBF">
        <w:rPr>
          <w:sz w:val="24"/>
          <w:szCs w:val="24"/>
        </w:rPr>
        <w:t xml:space="preserve"> организацией на территории Тихвинского муниципального района Ленинградской области. </w:t>
      </w:r>
      <w:proofErr w:type="gramStart"/>
      <w:r w:rsidRPr="00400BBF">
        <w:rPr>
          <w:sz w:val="24"/>
          <w:szCs w:val="24"/>
        </w:rPr>
        <w:t>Тарифы в сфере теплоснабжения на 2018 г. для ОАО «Управление жилищно-коммунальным хозяйством Тихвинского района»</w:t>
      </w:r>
      <w:r w:rsidRPr="00400BBF">
        <w:rPr>
          <w:b/>
          <w:sz w:val="24"/>
          <w:szCs w:val="24"/>
        </w:rPr>
        <w:t xml:space="preserve"> </w:t>
      </w:r>
      <w:r w:rsidRPr="00400BBF">
        <w:rPr>
          <w:sz w:val="24"/>
          <w:szCs w:val="24"/>
        </w:rPr>
        <w:t>установлены ЛенРТК в соответствии с заявлением организации исх. № 638 от 24.04.2017 (</w:t>
      </w:r>
      <w:proofErr w:type="spellStart"/>
      <w:r w:rsidRPr="00400BBF">
        <w:rPr>
          <w:sz w:val="24"/>
          <w:szCs w:val="24"/>
        </w:rPr>
        <w:t>вх</w:t>
      </w:r>
      <w:proofErr w:type="spellEnd"/>
      <w:r w:rsidRPr="00400BBF">
        <w:rPr>
          <w:sz w:val="24"/>
          <w:szCs w:val="24"/>
        </w:rPr>
        <w:t>.</w:t>
      </w:r>
      <w:proofErr w:type="gramEnd"/>
      <w:r w:rsidRPr="00400BBF">
        <w:rPr>
          <w:sz w:val="24"/>
          <w:szCs w:val="24"/>
        </w:rPr>
        <w:t xml:space="preserve"> ЛенРТК №  КТ-1-2428/17-0-0 от 28.04.2017) в рамках открытого дела об установлении тарифов № 30-т. Тарифы на тепловую энергию и горячую воду, поставляемые ОАО «Управление жилищно-коммунальным хозяйством Тихвинского района» на 2018 г.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400BBF">
        <w:rPr>
          <w:sz w:val="24"/>
          <w:szCs w:val="24"/>
        </w:rPr>
        <w:t xml:space="preserve">Приказом ЛенРТК от 19.12.2017 № 646 -п.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2018 году» установлены льготные тарифы на тепловую энергию и горячую воду поставляемую населению в зоне </w:t>
      </w:r>
      <w:r w:rsidRPr="00400BBF">
        <w:rPr>
          <w:sz w:val="24"/>
          <w:szCs w:val="24"/>
        </w:rPr>
        <w:lastRenderedPageBreak/>
        <w:t>теплоснабжения ОАО «Управление жилищно-коммунальным хозяйством Тихвинского</w:t>
      </w:r>
      <w:proofErr w:type="gramEnd"/>
      <w:r w:rsidRPr="00400BBF">
        <w:rPr>
          <w:sz w:val="24"/>
          <w:szCs w:val="24"/>
        </w:rPr>
        <w:t xml:space="preserve"> района».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При предоставлении обосновывающих документов и материалов к  предложению о корректировке тарифов на 2018 г. ОАО «Управление жилищно-коммунальным хозяйством Тихвинского района» была представлена некорректная информация о видах систем теплоснабжения (горячего водоснабжения). </w:t>
      </w:r>
      <w:proofErr w:type="gramStart"/>
      <w:r w:rsidRPr="00400BBF">
        <w:rPr>
          <w:sz w:val="24"/>
          <w:szCs w:val="24"/>
        </w:rPr>
        <w:t>На основании письма направленного ОАО «Управление жилищно-коммунальным хозяйством Тихвинского района» в ЛенРТК (</w:t>
      </w:r>
      <w:proofErr w:type="spellStart"/>
      <w:r w:rsidRPr="00400BBF">
        <w:rPr>
          <w:sz w:val="24"/>
          <w:szCs w:val="24"/>
        </w:rPr>
        <w:t>вх</w:t>
      </w:r>
      <w:proofErr w:type="spellEnd"/>
      <w:r w:rsidRPr="00400BBF">
        <w:rPr>
          <w:sz w:val="24"/>
          <w:szCs w:val="24"/>
        </w:rPr>
        <w:t>.</w:t>
      </w:r>
      <w:proofErr w:type="gramEnd"/>
      <w:r w:rsidRPr="00400BBF">
        <w:rPr>
          <w:sz w:val="24"/>
          <w:szCs w:val="24"/>
        </w:rPr>
        <w:t xml:space="preserve"> ЛенРТК № КТ-1-5134/2018 от 24.09.2018) рассчитаны тарифы на горячую воду для системы горячего водоснабжения: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без наружной сети горячего водоснабжения, с неизолированными стояками, с </w:t>
      </w:r>
      <w:proofErr w:type="spellStart"/>
      <w:r w:rsidRPr="00400BBF">
        <w:rPr>
          <w:sz w:val="24"/>
          <w:szCs w:val="24"/>
        </w:rPr>
        <w:t>полотенцесушителями</w:t>
      </w:r>
      <w:proofErr w:type="spellEnd"/>
      <w:r w:rsidRPr="00400BBF">
        <w:rPr>
          <w:sz w:val="24"/>
          <w:szCs w:val="24"/>
        </w:rPr>
        <w:t xml:space="preserve">; 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без наружной сети горячего водоснабжения, с неизолированными стояками, без </w:t>
      </w:r>
      <w:proofErr w:type="spellStart"/>
      <w:r w:rsidRPr="00400BBF">
        <w:rPr>
          <w:sz w:val="24"/>
          <w:szCs w:val="24"/>
        </w:rPr>
        <w:t>полотенцесушителей</w:t>
      </w:r>
      <w:proofErr w:type="spellEnd"/>
      <w:r w:rsidRPr="00400BBF">
        <w:rPr>
          <w:sz w:val="24"/>
          <w:szCs w:val="24"/>
        </w:rPr>
        <w:t xml:space="preserve">. 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400BBF" w:rsidRPr="00400BBF" w:rsidRDefault="00400BBF" w:rsidP="00400BBF">
      <w:pPr>
        <w:ind w:left="-142" w:firstLine="567"/>
        <w:contextualSpacing/>
        <w:jc w:val="both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 xml:space="preserve">Правление приняло решение:  </w:t>
      </w:r>
    </w:p>
    <w:p w:rsidR="00400BBF" w:rsidRPr="00400BBF" w:rsidRDefault="00400BBF" w:rsidP="00400BBF">
      <w:pPr>
        <w:ind w:firstLine="426"/>
        <w:jc w:val="both"/>
        <w:rPr>
          <w:rFonts w:eastAsia="Calibri"/>
          <w:sz w:val="24"/>
          <w:szCs w:val="24"/>
          <w:lang w:eastAsia="en-US"/>
        </w:rPr>
      </w:pPr>
    </w:p>
    <w:p w:rsidR="00400BBF" w:rsidRPr="00400BBF" w:rsidRDefault="00400BBF" w:rsidP="00400BBF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400BBF">
        <w:rPr>
          <w:rFonts w:eastAsia="Calibri"/>
          <w:sz w:val="24"/>
          <w:szCs w:val="24"/>
          <w:lang w:eastAsia="en-US"/>
        </w:rPr>
        <w:t xml:space="preserve">Принять следующие льготные тарифы на горячую воду, поставляемую населению, ОАО «Управление жилищно-коммунальным хозяйством Тихвинского района в 2018 г.: </w:t>
      </w:r>
    </w:p>
    <w:p w:rsidR="00400BBF" w:rsidRPr="00400BBF" w:rsidRDefault="00400BBF" w:rsidP="00400BBF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3511"/>
        <w:gridCol w:w="1825"/>
        <w:gridCol w:w="2571"/>
        <w:gridCol w:w="1752"/>
      </w:tblGrid>
      <w:tr w:rsidR="00400BBF" w:rsidRPr="00400BBF" w:rsidTr="00400BBF">
        <w:trPr>
          <w:trHeight w:val="95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1325,75</w:t>
            </w:r>
          </w:p>
        </w:tc>
      </w:tr>
      <w:tr w:rsidR="00400BBF" w:rsidRPr="00400BBF" w:rsidTr="00400BBF">
        <w:trPr>
          <w:trHeight w:val="8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1.1.4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1325,75</w:t>
            </w:r>
          </w:p>
        </w:tc>
      </w:tr>
      <w:tr w:rsidR="00400BBF" w:rsidRPr="00400BBF" w:rsidTr="00400BBF">
        <w:trPr>
          <w:trHeight w:val="8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1.2.2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1437,33</w:t>
            </w:r>
          </w:p>
        </w:tc>
      </w:tr>
      <w:tr w:rsidR="00400BBF" w:rsidRPr="00400BBF" w:rsidTr="00400BBF">
        <w:trPr>
          <w:trHeight w:val="109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1.2.3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10,45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1437,33</w:t>
            </w:r>
          </w:p>
        </w:tc>
      </w:tr>
      <w:tr w:rsidR="00400BBF" w:rsidRPr="00400BBF" w:rsidTr="00400BBF">
        <w:trPr>
          <w:trHeight w:val="8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1.3.2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1368,25</w:t>
            </w:r>
          </w:p>
        </w:tc>
      </w:tr>
      <w:tr w:rsidR="00400BBF" w:rsidRPr="00400BBF" w:rsidTr="00400BBF">
        <w:trPr>
          <w:trHeight w:val="909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1.3.3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9,96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1368,25</w:t>
            </w:r>
          </w:p>
        </w:tc>
      </w:tr>
      <w:tr w:rsidR="00400BBF" w:rsidRPr="00400BBF" w:rsidTr="00400BBF">
        <w:trPr>
          <w:trHeight w:val="1093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1.4.2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1350,83</w:t>
            </w:r>
          </w:p>
        </w:tc>
      </w:tr>
      <w:tr w:rsidR="00400BBF" w:rsidRPr="00400BBF" w:rsidTr="00400BBF">
        <w:trPr>
          <w:trHeight w:val="99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1.4.3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1350,83</w:t>
            </w:r>
          </w:p>
        </w:tc>
      </w:tr>
      <w:tr w:rsidR="00400BBF" w:rsidRPr="00400BBF" w:rsidTr="00400BBF">
        <w:trPr>
          <w:trHeight w:val="601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1.5.2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1327,58</w:t>
            </w:r>
          </w:p>
        </w:tc>
      </w:tr>
      <w:tr w:rsidR="00400BBF" w:rsidRPr="00400BBF" w:rsidTr="00400BBF">
        <w:trPr>
          <w:trHeight w:val="882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1.5.3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1327,58</w:t>
            </w:r>
          </w:p>
        </w:tc>
      </w:tr>
      <w:tr w:rsidR="00400BBF" w:rsidRPr="00400BBF" w:rsidTr="00400BBF">
        <w:trPr>
          <w:trHeight w:val="93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lastRenderedPageBreak/>
              <w:t>1.6.2.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1454,42</w:t>
            </w:r>
          </w:p>
        </w:tc>
      </w:tr>
      <w:tr w:rsidR="00400BBF" w:rsidRPr="00400BBF" w:rsidTr="003B5D22">
        <w:trPr>
          <w:trHeight w:val="6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1.6.3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1454,42</w:t>
            </w:r>
          </w:p>
        </w:tc>
      </w:tr>
      <w:tr w:rsidR="00400BBF" w:rsidRPr="00400BBF" w:rsidTr="00400BBF">
        <w:trPr>
          <w:trHeight w:val="405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1.7.2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1239,75</w:t>
            </w:r>
          </w:p>
        </w:tc>
      </w:tr>
      <w:tr w:rsidR="00400BBF" w:rsidRPr="00400BBF" w:rsidTr="00400BBF">
        <w:trPr>
          <w:trHeight w:val="6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1.7.3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9,02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1239,75</w:t>
            </w:r>
          </w:p>
        </w:tc>
      </w:tr>
      <w:tr w:rsidR="00400BBF" w:rsidRPr="00400BBF" w:rsidTr="00400BBF">
        <w:trPr>
          <w:trHeight w:val="6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1.8.2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1297,75</w:t>
            </w:r>
          </w:p>
        </w:tc>
      </w:tr>
      <w:tr w:rsidR="00400BBF" w:rsidRPr="00400BBF" w:rsidTr="00400BBF">
        <w:trPr>
          <w:trHeight w:val="6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1.8.3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r w:rsidRPr="00400BBF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400BBF">
              <w:t>полотенцесушителей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9,44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00BBF">
              <w:t>1297,75</w:t>
            </w:r>
          </w:p>
        </w:tc>
      </w:tr>
    </w:tbl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400BBF">
        <w:rPr>
          <w:rFonts w:eastAsia="Calibri"/>
          <w:sz w:val="24"/>
          <w:szCs w:val="24"/>
          <w:lang w:eastAsia="en-US"/>
        </w:rPr>
        <w:t xml:space="preserve">На основании вышеизложенного комитет по тарифам и ценовой политике Ленинградской области вносит  изменения в приказ от 19 декабря 2017 г. № 646- </w:t>
      </w:r>
      <w:proofErr w:type="gramStart"/>
      <w:r w:rsidRPr="00400BBF">
        <w:rPr>
          <w:rFonts w:eastAsia="Calibri"/>
          <w:sz w:val="24"/>
          <w:szCs w:val="24"/>
          <w:lang w:eastAsia="en-US"/>
        </w:rPr>
        <w:t>п</w:t>
      </w:r>
      <w:proofErr w:type="gramEnd"/>
      <w:r w:rsidRPr="00400BBF">
        <w:rPr>
          <w:rFonts w:eastAsia="Calibri"/>
          <w:sz w:val="24"/>
          <w:szCs w:val="24"/>
          <w:lang w:eastAsia="en-US"/>
        </w:rPr>
        <w:t xml:space="preserve">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Тихвинского муниципального района Ленинградской области в 2018 году» в части установления льготных тарифов на горячую воду для населения Борского сельского поселения, 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Цвылевского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 сельского поселения, Горского сельского поселения, 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Ганьковского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 сельского поселения, 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Коськовского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 сельского поселения, 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Мелегежского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 сельского поселения, 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Пашозерского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 сельского поселения, 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Шугозерского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 сельского поселения.</w:t>
      </w:r>
    </w:p>
    <w:p w:rsidR="00400BBF" w:rsidRPr="00400BBF" w:rsidRDefault="00400BBF" w:rsidP="00400BBF">
      <w:pPr>
        <w:ind w:left="-142" w:right="-144" w:firstLine="720"/>
        <w:contextualSpacing/>
        <w:rPr>
          <w:sz w:val="24"/>
          <w:szCs w:val="24"/>
        </w:rPr>
      </w:pPr>
    </w:p>
    <w:p w:rsidR="00400BBF" w:rsidRPr="00400BBF" w:rsidRDefault="00400BBF" w:rsidP="00400BBF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845C80" w:rsidRDefault="00845C80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00BBF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</w:t>
      </w:r>
      <w:r w:rsidRPr="00400BBF">
        <w:rPr>
          <w:sz w:val="24"/>
          <w:szCs w:val="24"/>
        </w:rPr>
        <w:t>выступила начальник отдела</w:t>
      </w:r>
      <w:proofErr w:type="gramEnd"/>
      <w:r w:rsidRPr="00400BBF">
        <w:rPr>
          <w:sz w:val="24"/>
          <w:szCs w:val="24"/>
        </w:rPr>
        <w:t xml:space="preserve"> регулирования тарифов (цен) в сфере </w:t>
      </w:r>
      <w:proofErr w:type="gramStart"/>
      <w:r w:rsidRPr="00400BBF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Pr="00400BBF">
        <w:rPr>
          <w:sz w:val="24"/>
          <w:szCs w:val="24"/>
        </w:rPr>
        <w:t xml:space="preserve"> и электрической энергии комитета Курылко С.А. сообщила, что ОАО «Всеволожские тепловые сети» является </w:t>
      </w:r>
      <w:proofErr w:type="spellStart"/>
      <w:r w:rsidRPr="00400BBF">
        <w:rPr>
          <w:sz w:val="24"/>
          <w:szCs w:val="24"/>
        </w:rPr>
        <w:t>ресурсоснабжающей</w:t>
      </w:r>
      <w:proofErr w:type="spellEnd"/>
      <w:r w:rsidRPr="00400BBF">
        <w:rPr>
          <w:sz w:val="24"/>
          <w:szCs w:val="24"/>
        </w:rPr>
        <w:t xml:space="preserve"> организацией на территории Всеволожского городского поселения и </w:t>
      </w:r>
      <w:proofErr w:type="spellStart"/>
      <w:r w:rsidRPr="00400BBF">
        <w:rPr>
          <w:sz w:val="24"/>
          <w:szCs w:val="24"/>
        </w:rPr>
        <w:t>Колтушского</w:t>
      </w:r>
      <w:proofErr w:type="spellEnd"/>
      <w:r w:rsidRPr="00400BBF">
        <w:rPr>
          <w:sz w:val="24"/>
          <w:szCs w:val="24"/>
        </w:rPr>
        <w:t xml:space="preserve"> сельского поселения Всеволожского муниципального района Ленинградской области. Тарифы в сфере теплоснабжения на 2018 г. для ОАО «Всеволожские тепловые сети»</w:t>
      </w:r>
      <w:r w:rsidRPr="00400BBF">
        <w:rPr>
          <w:b/>
          <w:sz w:val="24"/>
          <w:szCs w:val="24"/>
        </w:rPr>
        <w:t xml:space="preserve"> </w:t>
      </w:r>
      <w:r w:rsidRPr="00400BBF">
        <w:rPr>
          <w:sz w:val="24"/>
          <w:szCs w:val="24"/>
        </w:rPr>
        <w:t xml:space="preserve">установлены ЛенРТК в соответствии с заявлением организации </w:t>
      </w:r>
      <w:proofErr w:type="spellStart"/>
      <w:r w:rsidRPr="00400BBF">
        <w:rPr>
          <w:sz w:val="24"/>
          <w:szCs w:val="24"/>
        </w:rPr>
        <w:t>вх</w:t>
      </w:r>
      <w:proofErr w:type="spellEnd"/>
      <w:r w:rsidRPr="00400BBF">
        <w:rPr>
          <w:sz w:val="24"/>
          <w:szCs w:val="24"/>
        </w:rPr>
        <w:t>.</w:t>
      </w:r>
      <w:r w:rsidR="003B5D22">
        <w:rPr>
          <w:sz w:val="24"/>
          <w:szCs w:val="24"/>
        </w:rPr>
        <w:t xml:space="preserve"> </w:t>
      </w:r>
      <w:r w:rsidRPr="00400BBF">
        <w:rPr>
          <w:sz w:val="24"/>
          <w:szCs w:val="24"/>
        </w:rPr>
        <w:t xml:space="preserve">от 28.04.2017 г. № КТ-1-2639/17-0-0. Организация реализует тепловую энергию, в том числе для домов, оборудованных индивидуальными тепловыми пунктами, (далее </w:t>
      </w:r>
      <w:proofErr w:type="gramStart"/>
      <w:r w:rsidRPr="00400BBF">
        <w:rPr>
          <w:sz w:val="24"/>
          <w:szCs w:val="24"/>
        </w:rPr>
        <w:t>-И</w:t>
      </w:r>
      <w:proofErr w:type="gramEnd"/>
      <w:r w:rsidRPr="00400BBF">
        <w:rPr>
          <w:sz w:val="24"/>
          <w:szCs w:val="24"/>
        </w:rPr>
        <w:t>ТП) и горячую воду.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Приказом ЛенРТК от 19.12.2017 № 585-п. </w:t>
      </w:r>
      <w:proofErr w:type="gramStart"/>
      <w:r w:rsidRPr="00400BBF">
        <w:rPr>
          <w:sz w:val="24"/>
          <w:szCs w:val="24"/>
        </w:rPr>
        <w:t xml:space="preserve">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установлены льготные тарифы на тепловую энергию и горячую воду поставляемую населению в </w:t>
      </w:r>
      <w:r w:rsidRPr="00400BBF">
        <w:rPr>
          <w:sz w:val="24"/>
          <w:szCs w:val="24"/>
        </w:rPr>
        <w:lastRenderedPageBreak/>
        <w:t>зоне теплоснабжения ОАО «Всеволожские тепловые сети».</w:t>
      </w:r>
      <w:proofErr w:type="gramEnd"/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При предоставлении обосновывающих документов и материалов к  предложению о корректировке тарифов на 2018 г. ОАО «Всеволожские тепловые сети» не была представлена информация о видах систем теплоснабжения (горячего водоснабжения). </w:t>
      </w:r>
      <w:proofErr w:type="gramStart"/>
      <w:r w:rsidRPr="00400BBF">
        <w:rPr>
          <w:sz w:val="24"/>
          <w:szCs w:val="24"/>
        </w:rPr>
        <w:t>На основании письма направленного ОАО «Всеволожские тепловые сети» в ЛенРТК (</w:t>
      </w:r>
      <w:proofErr w:type="spellStart"/>
      <w:r w:rsidRPr="00400BBF">
        <w:rPr>
          <w:sz w:val="24"/>
          <w:szCs w:val="24"/>
        </w:rPr>
        <w:t>вх</w:t>
      </w:r>
      <w:proofErr w:type="spellEnd"/>
      <w:r w:rsidRPr="00400BBF">
        <w:rPr>
          <w:sz w:val="24"/>
          <w:szCs w:val="24"/>
        </w:rPr>
        <w:t>.</w:t>
      </w:r>
      <w:proofErr w:type="gramEnd"/>
      <w:r w:rsidRPr="00400BBF">
        <w:rPr>
          <w:sz w:val="24"/>
          <w:szCs w:val="24"/>
        </w:rPr>
        <w:t xml:space="preserve"> № </w:t>
      </w:r>
      <w:proofErr w:type="gramStart"/>
      <w:r w:rsidRPr="00400BBF">
        <w:rPr>
          <w:sz w:val="24"/>
          <w:szCs w:val="24"/>
        </w:rPr>
        <w:t>КТ-1-5134/2018 от 24.09.2018) рассчитаны тарифы на тепловую энергию для оказания услуги по горячему водоснабжению в жилых домах, оборудованных ИТП:</w:t>
      </w:r>
      <w:proofErr w:type="gramEnd"/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без наружной сети горячего водоснабжения, с неизолированными стояками, с </w:t>
      </w:r>
      <w:proofErr w:type="spellStart"/>
      <w:r w:rsidRPr="00400BBF">
        <w:rPr>
          <w:sz w:val="24"/>
          <w:szCs w:val="24"/>
        </w:rPr>
        <w:t>полотенцесушителями</w:t>
      </w:r>
      <w:proofErr w:type="spellEnd"/>
      <w:r w:rsidRPr="00400BBF">
        <w:rPr>
          <w:sz w:val="24"/>
          <w:szCs w:val="24"/>
        </w:rPr>
        <w:t xml:space="preserve">; 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без наружной сети горячего водоснабжения, с изолированными стояками, с </w:t>
      </w:r>
      <w:proofErr w:type="spellStart"/>
      <w:r w:rsidRPr="00400BBF">
        <w:rPr>
          <w:sz w:val="24"/>
          <w:szCs w:val="24"/>
        </w:rPr>
        <w:t>полотенцесушителей</w:t>
      </w:r>
      <w:proofErr w:type="spellEnd"/>
      <w:r w:rsidRPr="00400BBF">
        <w:rPr>
          <w:sz w:val="24"/>
          <w:szCs w:val="24"/>
        </w:rPr>
        <w:t xml:space="preserve">. </w:t>
      </w: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00BBF" w:rsidRPr="00400BBF" w:rsidRDefault="00400BBF" w:rsidP="00400BBF">
      <w:pPr>
        <w:jc w:val="both"/>
        <w:rPr>
          <w:sz w:val="24"/>
          <w:szCs w:val="24"/>
        </w:rPr>
      </w:pPr>
    </w:p>
    <w:p w:rsidR="00400BBF" w:rsidRPr="00400BBF" w:rsidRDefault="00400BBF" w:rsidP="00400BBF">
      <w:pPr>
        <w:ind w:left="-142" w:firstLine="567"/>
        <w:contextualSpacing/>
        <w:jc w:val="both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 xml:space="preserve">Правление приняло решение:  </w:t>
      </w:r>
    </w:p>
    <w:p w:rsidR="00400BBF" w:rsidRPr="00400BBF" w:rsidRDefault="00400BBF" w:rsidP="00400BBF">
      <w:pPr>
        <w:ind w:left="-142" w:right="-144" w:firstLine="720"/>
        <w:contextualSpacing/>
        <w:rPr>
          <w:sz w:val="24"/>
          <w:szCs w:val="24"/>
        </w:rPr>
      </w:pPr>
    </w:p>
    <w:p w:rsidR="00400BBF" w:rsidRPr="00400BBF" w:rsidRDefault="00400BBF" w:rsidP="00400BBF">
      <w:pPr>
        <w:ind w:firstLine="708"/>
        <w:jc w:val="both"/>
        <w:rPr>
          <w:sz w:val="24"/>
          <w:szCs w:val="24"/>
        </w:rPr>
      </w:pPr>
      <w:r w:rsidRPr="00400BBF">
        <w:rPr>
          <w:sz w:val="24"/>
          <w:szCs w:val="24"/>
        </w:rPr>
        <w:t xml:space="preserve">На рассмотрение правления ЛенРТК выносятся следующие льготные тарифы  на тепловую энергию, поставляемую населению, для оказания услуги по ГВС в жилых домах, оборудованных ИТП в 2018 г.: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602"/>
        <w:gridCol w:w="1927"/>
        <w:gridCol w:w="1102"/>
        <w:gridCol w:w="814"/>
        <w:gridCol w:w="814"/>
        <w:gridCol w:w="814"/>
        <w:gridCol w:w="814"/>
        <w:gridCol w:w="814"/>
      </w:tblGrid>
      <w:tr w:rsidR="00400BBF" w:rsidRPr="00400BBF" w:rsidTr="00400BBF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r w:rsidRPr="00400BBF">
              <w:t>5</w:t>
            </w:r>
          </w:p>
        </w:tc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bCs/>
                <w:lang w:eastAsia="en-US"/>
              </w:rPr>
            </w:pPr>
            <w:r w:rsidRPr="00400BBF">
              <w:rPr>
                <w:bCs/>
              </w:rPr>
              <w:t>В зоне теплоснабжения открытого акционерного общества «Всеволожские тепловые сети»</w:t>
            </w:r>
          </w:p>
        </w:tc>
      </w:tr>
      <w:tr w:rsidR="00400BBF" w:rsidRPr="00400BBF" w:rsidTr="00400BBF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r w:rsidRPr="00400BBF">
              <w:t>5.1</w:t>
            </w:r>
          </w:p>
        </w:tc>
        <w:tc>
          <w:tcPr>
            <w:tcW w:w="10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both"/>
              <w:rPr>
                <w:lang w:eastAsia="en-US"/>
              </w:rPr>
            </w:pPr>
            <w:hyperlink r:id="rId8" w:anchor="RANGE!P862" w:history="1">
              <w:r w:rsidRPr="003B5D22">
                <w:t>Для населения, организаций, приобретающих тепловую энергию для предоставления коммунальных услуг населению, муниципальных образований «Город Всеволожск», «</w:t>
              </w:r>
              <w:proofErr w:type="spellStart"/>
              <w:r w:rsidRPr="003B5D22">
                <w:t>Колтушское</w:t>
              </w:r>
              <w:proofErr w:type="spellEnd"/>
              <w:r w:rsidRPr="003B5D22">
                <w:t xml:space="preserve"> сельское поселение» Всеволожского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400BBF" w:rsidRPr="00400BBF" w:rsidTr="00400BBF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r w:rsidRPr="00400BBF">
              <w:t>5.1.1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proofErr w:type="spellStart"/>
            <w:r w:rsidRPr="00400BBF">
              <w:t>Одноставочный</w:t>
            </w:r>
            <w:proofErr w:type="spellEnd"/>
            <w:r w:rsidRPr="00400BBF"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с 01.01.2018 по 30.06.2018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2 009,54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</w:tr>
      <w:tr w:rsidR="00400BBF" w:rsidRPr="00400BBF" w:rsidTr="003B5D22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с 01.07.2018 по 31.12.2018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2 075,85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</w:tr>
      <w:tr w:rsidR="00400BBF" w:rsidRPr="00400BBF" w:rsidTr="00400BBF">
        <w:trPr>
          <w:trHeight w:val="12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r w:rsidRPr="00400BBF">
              <w:t>5.1.2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proofErr w:type="spellStart"/>
            <w:r w:rsidRPr="00400BBF">
              <w:t>Одноставочный</w:t>
            </w:r>
            <w:proofErr w:type="spellEnd"/>
            <w:r w:rsidRPr="00400BBF"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неизолированными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  <w:r w:rsidRPr="00400BBF">
              <w:t>), руб./Гкал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с 01.01.2018 по 30.06.2018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1 676,50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</w:tr>
      <w:tr w:rsidR="00400BBF" w:rsidRPr="00400BBF" w:rsidTr="00400BBF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с 01.07.2018 по 31.12.2018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1 530,34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</w:tr>
      <w:tr w:rsidR="00400BBF" w:rsidRPr="00400BBF" w:rsidTr="00400BBF">
        <w:trPr>
          <w:trHeight w:val="91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r w:rsidRPr="00400BBF">
              <w:t>5.1.3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rPr>
                <w:lang w:eastAsia="en-US"/>
              </w:rPr>
            </w:pPr>
            <w:proofErr w:type="spellStart"/>
            <w:r w:rsidRPr="00400BBF">
              <w:t>Одноставочный</w:t>
            </w:r>
            <w:proofErr w:type="spellEnd"/>
            <w:r w:rsidRPr="00400BBF"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с </w:t>
            </w:r>
            <w:proofErr w:type="spellStart"/>
            <w:r w:rsidRPr="00400BBF">
              <w:t>полотенцесушителями</w:t>
            </w:r>
            <w:proofErr w:type="spellEnd"/>
            <w:r w:rsidRPr="00400BBF">
              <w:t>), руб./Гкал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со дня вступления в силу настоящего приказа по 31.12.2018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1 669,46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tabs>
                <w:tab w:val="left" w:pos="993"/>
              </w:tabs>
              <w:ind w:right="-142"/>
              <w:contextualSpacing/>
              <w:jc w:val="center"/>
              <w:rPr>
                <w:lang w:eastAsia="en-US"/>
              </w:rPr>
            </w:pPr>
            <w:r w:rsidRPr="00400BBF">
              <w:t>-</w:t>
            </w:r>
          </w:p>
        </w:tc>
      </w:tr>
    </w:tbl>
    <w:p w:rsidR="00400BBF" w:rsidRPr="00400BBF" w:rsidRDefault="00400BBF" w:rsidP="00400BBF">
      <w:pPr>
        <w:ind w:firstLine="708"/>
        <w:jc w:val="both"/>
        <w:rPr>
          <w:sz w:val="28"/>
          <w:szCs w:val="28"/>
          <w:lang w:eastAsia="en-US"/>
        </w:rPr>
      </w:pPr>
    </w:p>
    <w:p w:rsidR="00400BBF" w:rsidRPr="00400BBF" w:rsidRDefault="00400BBF" w:rsidP="00400BB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400BBF">
        <w:rPr>
          <w:sz w:val="24"/>
          <w:szCs w:val="24"/>
        </w:rPr>
        <w:t>На основании вышеизложенного комитет по тарифам и ценовой политике Ленинградской области вносит  изменения в приказ от 19 декабря 2017 г.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в части установления льготных</w:t>
      </w:r>
      <w:proofErr w:type="gramEnd"/>
      <w:r w:rsidRPr="00400BBF">
        <w:rPr>
          <w:sz w:val="24"/>
          <w:szCs w:val="24"/>
        </w:rPr>
        <w:t xml:space="preserve"> тарифов на тепловую энергию поставляемую населению, для оказания услуги по ГВС в жилых домах, оборудованных ИТП  </w:t>
      </w:r>
      <w:r w:rsidRPr="00400BBF">
        <w:rPr>
          <w:sz w:val="24"/>
          <w:szCs w:val="24"/>
        </w:rPr>
        <w:lastRenderedPageBreak/>
        <w:t xml:space="preserve">Всеволожского городского поселения и </w:t>
      </w:r>
      <w:proofErr w:type="spellStart"/>
      <w:r w:rsidRPr="00400BBF">
        <w:rPr>
          <w:sz w:val="24"/>
          <w:szCs w:val="24"/>
        </w:rPr>
        <w:t>Колтушского</w:t>
      </w:r>
      <w:proofErr w:type="spellEnd"/>
      <w:r w:rsidRPr="00400BBF">
        <w:rPr>
          <w:sz w:val="24"/>
          <w:szCs w:val="24"/>
        </w:rPr>
        <w:t xml:space="preserve"> сельского поселения Всеволожского Муниципального района Ленинградской области.</w:t>
      </w:r>
    </w:p>
    <w:p w:rsidR="00400BBF" w:rsidRPr="00400BBF" w:rsidRDefault="00400BBF" w:rsidP="00400BBF">
      <w:pPr>
        <w:ind w:left="-142" w:right="-144" w:firstLine="720"/>
        <w:contextualSpacing/>
        <w:rPr>
          <w:sz w:val="24"/>
          <w:szCs w:val="24"/>
        </w:rPr>
      </w:pPr>
    </w:p>
    <w:p w:rsidR="00400BBF" w:rsidRPr="00400BBF" w:rsidRDefault="00400BBF" w:rsidP="00400BBF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845C80" w:rsidRDefault="00845C80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00BBF" w:rsidRPr="00400BBF" w:rsidRDefault="00400BBF" w:rsidP="00400BB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00BBF">
        <w:rPr>
          <w:b/>
          <w:sz w:val="24"/>
          <w:szCs w:val="24"/>
          <w:lang w:val="x-none" w:eastAsia="x-none"/>
        </w:rPr>
        <w:t>По вопросу повестки</w:t>
      </w:r>
      <w:r w:rsidRPr="00400BBF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19 апреля 2018 года № 33-п «Об установлении тарифов на водоотведение общества с ограниченной ответственностью «</w:t>
      </w:r>
      <w:proofErr w:type="spellStart"/>
      <w:r w:rsidRPr="00400BBF">
        <w:rPr>
          <w:b/>
          <w:sz w:val="24"/>
          <w:szCs w:val="24"/>
          <w:lang w:eastAsia="x-none"/>
        </w:rPr>
        <w:t>Ленстрой</w:t>
      </w:r>
      <w:proofErr w:type="spellEnd"/>
      <w:r w:rsidRPr="00400BBF">
        <w:rPr>
          <w:b/>
          <w:sz w:val="24"/>
          <w:szCs w:val="24"/>
          <w:lang w:eastAsia="x-none"/>
        </w:rPr>
        <w:t>» на 2018 год</w:t>
      </w:r>
      <w:r w:rsidRPr="00400BBF">
        <w:rPr>
          <w:b/>
          <w:sz w:val="24"/>
          <w:szCs w:val="24"/>
          <w:lang w:val="x-none" w:eastAsia="x-none"/>
        </w:rPr>
        <w:t>»</w:t>
      </w:r>
      <w:r w:rsidRPr="00400BBF">
        <w:rPr>
          <w:b/>
          <w:sz w:val="24"/>
          <w:szCs w:val="24"/>
          <w:lang w:eastAsia="x-none"/>
        </w:rPr>
        <w:t xml:space="preserve"> </w:t>
      </w:r>
      <w:r w:rsidRPr="00400BBF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400BBF">
        <w:rPr>
          <w:sz w:val="24"/>
          <w:szCs w:val="24"/>
          <w:lang w:eastAsia="x-none"/>
        </w:rPr>
        <w:t xml:space="preserve">, </w:t>
      </w:r>
      <w:r w:rsidRPr="00400BBF">
        <w:rPr>
          <w:sz w:val="24"/>
          <w:szCs w:val="24"/>
          <w:lang w:val="x-none" w:eastAsia="x-none"/>
        </w:rPr>
        <w:t>изложила основные положения э</w:t>
      </w:r>
      <w:r w:rsidRPr="00400BBF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400BBF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Ленстрой</w:t>
      </w:r>
      <w:proofErr w:type="spellEnd"/>
      <w:r w:rsidRPr="00400BBF">
        <w:rPr>
          <w:rFonts w:eastAsia="Calibri"/>
          <w:sz w:val="24"/>
          <w:szCs w:val="24"/>
          <w:lang w:eastAsia="en-US"/>
        </w:rPr>
        <w:t>» (далее – ООО «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Ленстрой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») и тарифов на услуги в сфере водоотведения, оказываемые, для потребителей муниципального образования «Свердловское городское поселение» Кировского муниципального района Ленинградской области в 2018 году. </w:t>
      </w:r>
      <w:proofErr w:type="gramStart"/>
      <w:r w:rsidRPr="00400BBF">
        <w:rPr>
          <w:rFonts w:eastAsia="Calibri"/>
          <w:sz w:val="24"/>
          <w:szCs w:val="24"/>
          <w:lang w:eastAsia="en-US"/>
        </w:rPr>
        <w:t>Во исполнение пункта 3 Решения ФАС России, ЛенРТК произвел корректировку затрат, подлежащих дополнительному учёту в состав необходимой валовой выручки  по статье «Амортизация основных средств, относимых к объектам ЦС водоотведения» в размере 1457,50 тыс. руб., в том числе на 2018 год в размере 728,75 тыс. руб. и на 2019 год в размере 728,75 тыс. руб.</w:t>
      </w:r>
      <w:proofErr w:type="gramEnd"/>
    </w:p>
    <w:p w:rsidR="00400BBF" w:rsidRPr="00400BBF" w:rsidRDefault="00400BBF" w:rsidP="00400BBF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00BBF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400BBF">
        <w:rPr>
          <w:rFonts w:eastAsia="Calibri"/>
          <w:sz w:val="24"/>
          <w:szCs w:val="24"/>
          <w:lang w:eastAsia="en-US"/>
        </w:rPr>
        <w:t>Ленстрой</w:t>
      </w:r>
      <w:proofErr w:type="spellEnd"/>
      <w:r w:rsidRPr="00400BBF">
        <w:rPr>
          <w:rFonts w:eastAsia="Calibri"/>
          <w:sz w:val="24"/>
          <w:szCs w:val="24"/>
          <w:lang w:eastAsia="en-US"/>
        </w:rPr>
        <w:t xml:space="preserve">» </w:t>
      </w:r>
      <w:r w:rsidRPr="00400BBF">
        <w:rPr>
          <w:sz w:val="24"/>
          <w:szCs w:val="24"/>
          <w:lang w:val="x-none" w:eastAsia="x-none"/>
        </w:rPr>
        <w:t>представило письмо о согласии с предложенными ЛенРТК уровнями тарифов на 2018 год и с просьбой рассмотреть вопрос без участия представителей Организации (</w:t>
      </w:r>
      <w:proofErr w:type="spellStart"/>
      <w:r w:rsidRPr="00400BBF">
        <w:rPr>
          <w:sz w:val="24"/>
          <w:szCs w:val="24"/>
          <w:lang w:val="x-none" w:eastAsia="x-none"/>
        </w:rPr>
        <w:t>вх</w:t>
      </w:r>
      <w:proofErr w:type="spellEnd"/>
      <w:r w:rsidRPr="00400BBF">
        <w:rPr>
          <w:sz w:val="24"/>
          <w:szCs w:val="24"/>
          <w:lang w:val="x-none" w:eastAsia="x-none"/>
        </w:rPr>
        <w:t>.</w:t>
      </w:r>
      <w:proofErr w:type="gramEnd"/>
      <w:r w:rsidRPr="00400BBF">
        <w:rPr>
          <w:sz w:val="24"/>
          <w:szCs w:val="24"/>
          <w:lang w:val="x-none" w:eastAsia="x-none"/>
        </w:rPr>
        <w:t xml:space="preserve"> ЛенРТК № КТ-1-</w:t>
      </w:r>
      <w:r w:rsidRPr="00400BBF">
        <w:rPr>
          <w:sz w:val="24"/>
          <w:szCs w:val="24"/>
          <w:lang w:eastAsia="x-none"/>
        </w:rPr>
        <w:t>5191</w:t>
      </w:r>
      <w:r w:rsidRPr="00400BBF">
        <w:rPr>
          <w:sz w:val="24"/>
          <w:szCs w:val="24"/>
          <w:lang w:val="x-none" w:eastAsia="x-none"/>
        </w:rPr>
        <w:t>/201</w:t>
      </w:r>
      <w:r w:rsidRPr="00400BBF">
        <w:rPr>
          <w:sz w:val="24"/>
          <w:szCs w:val="24"/>
          <w:lang w:eastAsia="x-none"/>
        </w:rPr>
        <w:t>8</w:t>
      </w:r>
      <w:r w:rsidRPr="00400BBF">
        <w:rPr>
          <w:sz w:val="24"/>
          <w:szCs w:val="24"/>
          <w:lang w:val="x-none" w:eastAsia="x-none"/>
        </w:rPr>
        <w:t xml:space="preserve"> от 2</w:t>
      </w:r>
      <w:r w:rsidRPr="00400BBF">
        <w:rPr>
          <w:sz w:val="24"/>
          <w:szCs w:val="24"/>
          <w:lang w:eastAsia="x-none"/>
        </w:rPr>
        <w:t>7</w:t>
      </w:r>
      <w:r w:rsidRPr="00400BBF">
        <w:rPr>
          <w:sz w:val="24"/>
          <w:szCs w:val="24"/>
          <w:lang w:val="x-none" w:eastAsia="x-none"/>
        </w:rPr>
        <w:t>.</w:t>
      </w:r>
      <w:r w:rsidRPr="00400BBF">
        <w:rPr>
          <w:sz w:val="24"/>
          <w:szCs w:val="24"/>
          <w:lang w:eastAsia="x-none"/>
        </w:rPr>
        <w:t>09</w:t>
      </w:r>
      <w:r w:rsidRPr="00400BBF">
        <w:rPr>
          <w:sz w:val="24"/>
          <w:szCs w:val="24"/>
          <w:lang w:val="x-none" w:eastAsia="x-none"/>
        </w:rPr>
        <w:t>.201</w:t>
      </w:r>
      <w:r w:rsidRPr="00400BBF">
        <w:rPr>
          <w:sz w:val="24"/>
          <w:szCs w:val="24"/>
          <w:lang w:eastAsia="x-none"/>
        </w:rPr>
        <w:t>8</w:t>
      </w:r>
      <w:r w:rsidRPr="00400BBF">
        <w:rPr>
          <w:sz w:val="24"/>
          <w:szCs w:val="24"/>
          <w:lang w:val="x-none" w:eastAsia="x-none"/>
        </w:rPr>
        <w:t>)</w:t>
      </w:r>
      <w:r w:rsidRPr="00400BBF">
        <w:rPr>
          <w:sz w:val="24"/>
          <w:szCs w:val="24"/>
          <w:lang w:eastAsia="x-none"/>
        </w:rPr>
        <w:t>.</w:t>
      </w:r>
    </w:p>
    <w:p w:rsidR="00400BBF" w:rsidRPr="00400BBF" w:rsidRDefault="00400BBF" w:rsidP="00400BBF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400BBF" w:rsidRPr="00400BBF" w:rsidRDefault="00400BBF" w:rsidP="00400BB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 xml:space="preserve">Правление приняло решение:  </w:t>
      </w:r>
    </w:p>
    <w:p w:rsidR="00400BBF" w:rsidRPr="00400BBF" w:rsidRDefault="00400BBF" w:rsidP="00400BBF">
      <w:pPr>
        <w:rPr>
          <w:sz w:val="24"/>
          <w:szCs w:val="24"/>
          <w:lang w:eastAsia="ar-SA"/>
        </w:rPr>
      </w:pPr>
    </w:p>
    <w:p w:rsidR="00400BBF" w:rsidRPr="00400BBF" w:rsidRDefault="00400BBF" w:rsidP="00400BBF">
      <w:pPr>
        <w:ind w:firstLine="426"/>
        <w:jc w:val="both"/>
        <w:rPr>
          <w:sz w:val="22"/>
          <w:szCs w:val="22"/>
          <w:lang w:eastAsia="ar-SA"/>
        </w:rPr>
      </w:pPr>
      <w:proofErr w:type="gramStart"/>
      <w:r w:rsidRPr="00400BBF">
        <w:rPr>
          <w:sz w:val="24"/>
          <w:szCs w:val="24"/>
          <w:lang w:eastAsia="ar-SA"/>
        </w:rPr>
        <w:t>Скорректированная</w:t>
      </w:r>
      <w:proofErr w:type="gramEnd"/>
      <w:r w:rsidRPr="00400BBF">
        <w:rPr>
          <w:sz w:val="24"/>
          <w:szCs w:val="24"/>
          <w:lang w:eastAsia="ar-SA"/>
        </w:rPr>
        <w:t xml:space="preserve"> НВВ на 2018 год составит:                                                                    </w:t>
      </w:r>
      <w:r w:rsidRPr="00400BBF">
        <w:rPr>
          <w:sz w:val="22"/>
          <w:szCs w:val="22"/>
          <w:lang w:eastAsia="ar-SA"/>
        </w:rPr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400BBF" w:rsidRPr="00400BBF" w:rsidTr="00400BBF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lang w:eastAsia="ar-SA"/>
              </w:rPr>
            </w:pPr>
            <w:r w:rsidRPr="00400BBF">
              <w:rPr>
                <w:lang w:eastAsia="ar-SA"/>
              </w:rPr>
              <w:t>Товары, услуги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lang w:eastAsia="ar-SA"/>
              </w:rPr>
            </w:pPr>
            <w:r w:rsidRPr="00400BBF">
              <w:rPr>
                <w:lang w:eastAsia="ar-SA"/>
              </w:rPr>
              <w:t>Корректировка на 2018 год (основание Решение ФАС России)</w:t>
            </w:r>
          </w:p>
        </w:tc>
      </w:tr>
      <w:tr w:rsidR="00400BBF" w:rsidRPr="00400BBF" w:rsidTr="00400BBF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lang w:eastAsia="ar-SA"/>
              </w:rPr>
            </w:pPr>
            <w:r w:rsidRPr="00400BBF">
              <w:rPr>
                <w:lang w:eastAsia="ar-SA"/>
              </w:rPr>
              <w:t>Водоотведение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lang w:eastAsia="ar-SA"/>
              </w:rPr>
            </w:pPr>
            <w:r w:rsidRPr="00400BBF">
              <w:rPr>
                <w:lang w:eastAsia="ar-SA"/>
              </w:rPr>
              <w:t>2594,40</w:t>
            </w:r>
          </w:p>
        </w:tc>
      </w:tr>
    </w:tbl>
    <w:p w:rsidR="00400BBF" w:rsidRPr="00400BBF" w:rsidRDefault="00400BBF" w:rsidP="00400BBF">
      <w:pPr>
        <w:ind w:firstLine="567"/>
        <w:jc w:val="both"/>
        <w:rPr>
          <w:sz w:val="24"/>
          <w:szCs w:val="24"/>
          <w:lang w:eastAsia="ar-SA"/>
        </w:rPr>
      </w:pPr>
    </w:p>
    <w:p w:rsidR="00400BBF" w:rsidRPr="00400BBF" w:rsidRDefault="00400BBF" w:rsidP="00400BBF">
      <w:pPr>
        <w:ind w:firstLine="567"/>
        <w:jc w:val="both"/>
        <w:rPr>
          <w:sz w:val="24"/>
          <w:szCs w:val="24"/>
          <w:lang w:eastAsia="ar-SA"/>
        </w:rPr>
      </w:pPr>
      <w:r w:rsidRPr="00400BBF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оказываемую</w:t>
      </w:r>
      <w:r w:rsidRPr="00400BBF">
        <w:rPr>
          <w:sz w:val="24"/>
          <w:szCs w:val="24"/>
          <w:lang w:eastAsia="ar-SA"/>
        </w:rPr>
        <w:t xml:space="preserve"> ООО «</w:t>
      </w:r>
      <w:proofErr w:type="spellStart"/>
      <w:r w:rsidRPr="00400BBF">
        <w:rPr>
          <w:sz w:val="24"/>
          <w:szCs w:val="24"/>
          <w:lang w:eastAsia="ar-SA"/>
        </w:rPr>
        <w:t>Ленстрой</w:t>
      </w:r>
      <w:proofErr w:type="spellEnd"/>
      <w:r w:rsidRPr="00400BBF">
        <w:rPr>
          <w:sz w:val="24"/>
          <w:szCs w:val="24"/>
          <w:lang w:eastAsia="ar-SA"/>
        </w:rPr>
        <w:t>»: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450"/>
        <w:gridCol w:w="3260"/>
        <w:gridCol w:w="3544"/>
      </w:tblGrid>
      <w:tr w:rsidR="00400BBF" w:rsidRPr="00400BBF" w:rsidTr="00400BBF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00BBF">
              <w:rPr>
                <w:rFonts w:eastAsia="Calibri"/>
                <w:lang w:eastAsia="en-US"/>
              </w:rPr>
              <w:t>п</w:t>
            </w:r>
            <w:proofErr w:type="gramEnd"/>
            <w:r w:rsidRPr="00400BB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Тарифы, руб./м</w:t>
            </w:r>
            <w:r w:rsidRPr="00400BBF">
              <w:rPr>
                <w:rFonts w:eastAsia="Calibri"/>
                <w:vertAlign w:val="superscript"/>
                <w:lang w:eastAsia="en-US"/>
              </w:rPr>
              <w:t>3</w:t>
            </w:r>
            <w:r w:rsidRPr="00400BBF">
              <w:rPr>
                <w:rFonts w:eastAsia="Calibri"/>
                <w:lang w:eastAsia="en-US"/>
              </w:rPr>
              <w:t xml:space="preserve"> **</w:t>
            </w:r>
          </w:p>
        </w:tc>
      </w:tr>
      <w:tr w:rsidR="00400BBF" w:rsidRPr="00400BBF" w:rsidTr="00400BBF">
        <w:trPr>
          <w:trHeight w:val="5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Для потребителей «Свердловское городское поселение»</w:t>
            </w:r>
          </w:p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 xml:space="preserve"> Всеволожского муниципального района Ленинградской области</w:t>
            </w:r>
          </w:p>
        </w:tc>
      </w:tr>
      <w:tr w:rsidR="00400BBF" w:rsidRPr="00400BBF" w:rsidTr="00400BBF">
        <w:trPr>
          <w:trHeight w:val="41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 xml:space="preserve">Водоотведение*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со дня вступления в силу настоящего приказа по 31.12.2018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47,38</w:t>
            </w:r>
          </w:p>
        </w:tc>
      </w:tr>
    </w:tbl>
    <w:p w:rsidR="00400BBF" w:rsidRPr="00400BBF" w:rsidRDefault="00400BBF" w:rsidP="00400BBF">
      <w:pPr>
        <w:autoSpaceDE w:val="0"/>
        <w:autoSpaceDN w:val="0"/>
        <w:adjustRightInd w:val="0"/>
        <w:jc w:val="both"/>
      </w:pPr>
      <w:r w:rsidRPr="00400BBF">
        <w:t>* категория сточных вод – поверхностные сточные воды</w:t>
      </w:r>
    </w:p>
    <w:p w:rsidR="00400BBF" w:rsidRPr="00400BBF" w:rsidRDefault="00400BBF" w:rsidP="00400BBF">
      <w:pPr>
        <w:autoSpaceDE w:val="0"/>
        <w:autoSpaceDN w:val="0"/>
        <w:adjustRightInd w:val="0"/>
        <w:jc w:val="both"/>
      </w:pPr>
      <w:r w:rsidRPr="00400BBF">
        <w:t>** тариф указан без учета налога на добавленную стоимость</w:t>
      </w:r>
    </w:p>
    <w:p w:rsidR="00400BBF" w:rsidRPr="00400BBF" w:rsidRDefault="00400BBF" w:rsidP="00400BBF">
      <w:pPr>
        <w:rPr>
          <w:sz w:val="24"/>
          <w:szCs w:val="24"/>
          <w:lang w:eastAsia="ar-SA"/>
        </w:rPr>
      </w:pPr>
    </w:p>
    <w:p w:rsidR="00400BBF" w:rsidRPr="00400BBF" w:rsidRDefault="00400BBF" w:rsidP="00400BBF">
      <w:pPr>
        <w:jc w:val="center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845C80" w:rsidRDefault="00845C80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00BBF" w:rsidRPr="00400BBF" w:rsidRDefault="00400BBF" w:rsidP="00400BBF">
      <w:pPr>
        <w:ind w:firstLine="708"/>
        <w:jc w:val="both"/>
        <w:rPr>
          <w:bCs/>
          <w:sz w:val="24"/>
          <w:szCs w:val="24"/>
        </w:rPr>
      </w:pPr>
      <w:proofErr w:type="gramStart"/>
      <w:r w:rsidRPr="00400BBF">
        <w:rPr>
          <w:b/>
          <w:sz w:val="24"/>
          <w:szCs w:val="24"/>
        </w:rPr>
        <w:t xml:space="preserve">По вопросу повестки «Об </w:t>
      </w:r>
      <w:r w:rsidRPr="00400BBF">
        <w:rPr>
          <w:b/>
          <w:bCs/>
          <w:sz w:val="24"/>
          <w:szCs w:val="24"/>
        </w:rPr>
        <w:t xml:space="preserve">установлении </w:t>
      </w:r>
      <w:r w:rsidRPr="00400BBF">
        <w:rPr>
          <w:b/>
          <w:sz w:val="24"/>
          <w:szCs w:val="24"/>
        </w:rPr>
        <w:t>тарифов за подключение</w:t>
      </w:r>
      <w:r w:rsidRPr="00400BBF">
        <w:rPr>
          <w:b/>
          <w:bCs/>
          <w:sz w:val="24"/>
          <w:szCs w:val="24"/>
        </w:rPr>
        <w:t xml:space="preserve"> (технологическое присоединение) </w:t>
      </w:r>
      <w:r w:rsidRPr="00400BBF">
        <w:rPr>
          <w:b/>
          <w:sz w:val="24"/>
          <w:szCs w:val="24"/>
        </w:rPr>
        <w:t xml:space="preserve">к централизованной системе водоотведения акционерного общества </w:t>
      </w:r>
      <w:r w:rsidRPr="00400BBF">
        <w:rPr>
          <w:b/>
          <w:sz w:val="24"/>
          <w:szCs w:val="24"/>
        </w:rPr>
        <w:br/>
        <w:t>«Коммунальные системы Гатчинского района» на территории муниципального образования «</w:t>
      </w:r>
      <w:proofErr w:type="spellStart"/>
      <w:r w:rsidRPr="00400BBF">
        <w:rPr>
          <w:b/>
          <w:sz w:val="24"/>
          <w:szCs w:val="24"/>
        </w:rPr>
        <w:t>Вырицкое</w:t>
      </w:r>
      <w:proofErr w:type="spellEnd"/>
      <w:r w:rsidRPr="00400BBF">
        <w:rPr>
          <w:b/>
          <w:sz w:val="24"/>
          <w:szCs w:val="24"/>
        </w:rPr>
        <w:t xml:space="preserve"> городское поселение» Гатчинского муниципального района </w:t>
      </w:r>
      <w:r w:rsidRPr="00400BBF">
        <w:rPr>
          <w:b/>
          <w:sz w:val="24"/>
          <w:szCs w:val="24"/>
        </w:rPr>
        <w:br/>
        <w:t>Ленинградской области, на 2018 год»</w:t>
      </w:r>
      <w:r w:rsidRPr="00400BBF">
        <w:rPr>
          <w:sz w:val="24"/>
          <w:szCs w:val="24"/>
        </w:rPr>
        <w:t xml:space="preserve"> </w:t>
      </w:r>
      <w:r w:rsidRPr="00400BBF">
        <w:rPr>
          <w:bCs/>
          <w:sz w:val="24"/>
          <w:szCs w:val="24"/>
        </w:rPr>
        <w:t>выступил</w:t>
      </w:r>
      <w:r w:rsidRPr="00400BBF">
        <w:rPr>
          <w:b/>
          <w:sz w:val="24"/>
          <w:szCs w:val="24"/>
        </w:rPr>
        <w:t xml:space="preserve"> </w:t>
      </w:r>
      <w:r w:rsidRPr="00400BBF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Pr="00400BBF">
        <w:rPr>
          <w:bCs/>
          <w:sz w:val="24"/>
          <w:szCs w:val="24"/>
        </w:rPr>
        <w:t>комитета по тарифам и ценовой политике Ленинградской области А.Е. Марков</w:t>
      </w:r>
      <w:r w:rsidRPr="00400BBF">
        <w:rPr>
          <w:sz w:val="24"/>
          <w:szCs w:val="24"/>
        </w:rPr>
        <w:t xml:space="preserve">, изложив основные положения </w:t>
      </w:r>
      <w:r w:rsidRPr="00400BBF">
        <w:rPr>
          <w:snapToGrid w:val="0"/>
          <w:sz w:val="24"/>
          <w:szCs w:val="24"/>
        </w:rPr>
        <w:t>заключения ЛенРТК по экономическому</w:t>
      </w:r>
      <w:proofErr w:type="gramEnd"/>
      <w:r w:rsidRPr="00400BBF">
        <w:rPr>
          <w:snapToGrid w:val="0"/>
          <w:sz w:val="24"/>
          <w:szCs w:val="24"/>
        </w:rPr>
        <w:t xml:space="preserve"> обоснованию размера </w:t>
      </w:r>
      <w:r w:rsidRPr="00400BBF">
        <w:rPr>
          <w:sz w:val="24"/>
          <w:szCs w:val="24"/>
        </w:rPr>
        <w:t xml:space="preserve">тарифов за подключение (технологическое присоединение) к централизованной системе водоотведения акционерного общества «Коммунальные системы Гатчинского района» на </w:t>
      </w:r>
      <w:r w:rsidRPr="00400BBF">
        <w:rPr>
          <w:sz w:val="24"/>
          <w:szCs w:val="24"/>
        </w:rPr>
        <w:lastRenderedPageBreak/>
        <w:t>территории муниципального образования «</w:t>
      </w:r>
      <w:proofErr w:type="spellStart"/>
      <w:r w:rsidRPr="00400BBF">
        <w:rPr>
          <w:sz w:val="24"/>
          <w:szCs w:val="24"/>
        </w:rPr>
        <w:t>Вырицкое</w:t>
      </w:r>
      <w:proofErr w:type="spellEnd"/>
      <w:r w:rsidRPr="00400BBF">
        <w:rPr>
          <w:sz w:val="24"/>
          <w:szCs w:val="24"/>
        </w:rPr>
        <w:t xml:space="preserve"> городское поселение» Гатчинского муниципального района Ленинградской области, на 2018 год.</w:t>
      </w:r>
    </w:p>
    <w:p w:rsidR="00400BBF" w:rsidRPr="00400BBF" w:rsidRDefault="00400BBF" w:rsidP="00400BBF">
      <w:pPr>
        <w:ind w:firstLine="709"/>
        <w:jc w:val="both"/>
        <w:rPr>
          <w:snapToGrid w:val="0"/>
          <w:sz w:val="24"/>
          <w:szCs w:val="24"/>
        </w:rPr>
      </w:pPr>
      <w:r w:rsidRPr="00400BBF">
        <w:rPr>
          <w:snapToGrid w:val="0"/>
          <w:sz w:val="24"/>
          <w:szCs w:val="24"/>
        </w:rPr>
        <w:t>Присутствующие на заседании заседания Правления ЛенРТК генеральный директор акционерного общества «Коммунальные системы Гатчинского района» Бойко А.И. выразил согласие с предлагаемыми ЛенРТК тарифами на подключение.</w:t>
      </w:r>
    </w:p>
    <w:p w:rsidR="00400BBF" w:rsidRPr="00400BBF" w:rsidRDefault="00400BBF" w:rsidP="00400BBF">
      <w:pPr>
        <w:ind w:firstLine="709"/>
        <w:jc w:val="both"/>
        <w:rPr>
          <w:snapToGrid w:val="0"/>
          <w:sz w:val="24"/>
          <w:szCs w:val="24"/>
        </w:rPr>
      </w:pPr>
    </w:p>
    <w:p w:rsidR="00400BBF" w:rsidRPr="00400BBF" w:rsidRDefault="00400BBF" w:rsidP="00400BBF">
      <w:pPr>
        <w:ind w:firstLine="709"/>
        <w:jc w:val="both"/>
        <w:rPr>
          <w:b/>
          <w:snapToGrid w:val="0"/>
          <w:sz w:val="24"/>
          <w:szCs w:val="24"/>
        </w:rPr>
      </w:pPr>
      <w:r w:rsidRPr="00400BBF">
        <w:rPr>
          <w:b/>
          <w:snapToGrid w:val="0"/>
          <w:sz w:val="24"/>
          <w:szCs w:val="24"/>
        </w:rPr>
        <w:t>Правление приняло решение:</w:t>
      </w:r>
    </w:p>
    <w:p w:rsidR="00400BBF" w:rsidRPr="00400BBF" w:rsidRDefault="00400BBF" w:rsidP="00400BBF">
      <w:pPr>
        <w:ind w:firstLine="709"/>
        <w:jc w:val="both"/>
        <w:rPr>
          <w:b/>
          <w:snapToGrid w:val="0"/>
          <w:sz w:val="24"/>
          <w:szCs w:val="24"/>
        </w:rPr>
      </w:pPr>
    </w:p>
    <w:p w:rsidR="00400BBF" w:rsidRPr="00400BBF" w:rsidRDefault="00400BBF" w:rsidP="00400BBF">
      <w:pPr>
        <w:ind w:firstLine="709"/>
        <w:jc w:val="both"/>
        <w:rPr>
          <w:snapToGrid w:val="0"/>
          <w:sz w:val="24"/>
          <w:szCs w:val="24"/>
        </w:rPr>
      </w:pPr>
      <w:r w:rsidRPr="00400BBF">
        <w:rPr>
          <w:snapToGrid w:val="0"/>
          <w:sz w:val="24"/>
          <w:szCs w:val="24"/>
        </w:rPr>
        <w:t>Установить тарифы за подключение</w:t>
      </w:r>
      <w:r w:rsidRPr="00400BBF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400BBF">
        <w:rPr>
          <w:bCs/>
          <w:snapToGrid w:val="0"/>
          <w:sz w:val="24"/>
          <w:szCs w:val="24"/>
        </w:rPr>
        <w:br/>
      </w:r>
      <w:r w:rsidRPr="00400BBF">
        <w:rPr>
          <w:snapToGrid w:val="0"/>
          <w:sz w:val="24"/>
          <w:szCs w:val="24"/>
        </w:rPr>
        <w:t>к централизованной системе водоотведения акционерного общества «Коммунальные системы Гатчинского района» на территории муниципального образования «</w:t>
      </w:r>
      <w:proofErr w:type="spellStart"/>
      <w:r w:rsidRPr="00400BBF">
        <w:rPr>
          <w:snapToGrid w:val="0"/>
          <w:sz w:val="24"/>
          <w:szCs w:val="24"/>
        </w:rPr>
        <w:t>Вырицкое</w:t>
      </w:r>
      <w:proofErr w:type="spellEnd"/>
      <w:r w:rsidRPr="00400BBF">
        <w:rPr>
          <w:snapToGrid w:val="0"/>
          <w:sz w:val="24"/>
          <w:szCs w:val="24"/>
        </w:rPr>
        <w:t xml:space="preserve"> городское поселение» Гатчинского муниципального района Ленинградской области, на 2018 год</w:t>
      </w:r>
      <w:r w:rsidRPr="00400BBF">
        <w:rPr>
          <w:b/>
          <w:snapToGrid w:val="0"/>
          <w:sz w:val="24"/>
          <w:szCs w:val="24"/>
        </w:rPr>
        <w:t xml:space="preserve"> </w:t>
      </w:r>
      <w:r w:rsidRPr="00400BBF">
        <w:rPr>
          <w:snapToGrid w:val="0"/>
          <w:sz w:val="24"/>
          <w:szCs w:val="24"/>
        </w:rPr>
        <w:t>согласно таблице.</w:t>
      </w:r>
    </w:p>
    <w:p w:rsidR="00400BBF" w:rsidRPr="00400BBF" w:rsidRDefault="00400BBF" w:rsidP="00400BBF">
      <w:pPr>
        <w:ind w:firstLine="709"/>
        <w:jc w:val="both"/>
        <w:rPr>
          <w:snapToGrid w:val="0"/>
          <w:sz w:val="16"/>
          <w:szCs w:val="16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3"/>
        <w:gridCol w:w="1842"/>
        <w:gridCol w:w="1416"/>
      </w:tblGrid>
      <w:tr w:rsidR="00400BBF" w:rsidRPr="00400BBF" w:rsidTr="00400BBF">
        <w:trPr>
          <w:trHeight w:val="397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b/>
                <w:bCs/>
              </w:rPr>
            </w:pPr>
            <w:r w:rsidRPr="00400BBF">
              <w:rPr>
                <w:b/>
                <w:bCs/>
              </w:rPr>
              <w:t xml:space="preserve">№ </w:t>
            </w:r>
            <w:proofErr w:type="gramStart"/>
            <w:r w:rsidRPr="00400BBF">
              <w:rPr>
                <w:b/>
                <w:bCs/>
              </w:rPr>
              <w:t>п</w:t>
            </w:r>
            <w:proofErr w:type="gramEnd"/>
            <w:r w:rsidRPr="00400BBF"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b/>
                <w:bCs/>
              </w:rPr>
            </w:pPr>
            <w:r w:rsidRPr="00400BBF"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b/>
                <w:bCs/>
              </w:rPr>
            </w:pPr>
            <w:r w:rsidRPr="00400BBF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  <w:rPr>
                <w:b/>
                <w:bCs/>
              </w:rPr>
            </w:pPr>
            <w:r w:rsidRPr="00400BBF">
              <w:rPr>
                <w:b/>
                <w:bCs/>
              </w:rPr>
              <w:t>Значение*</w:t>
            </w:r>
          </w:p>
        </w:tc>
      </w:tr>
      <w:tr w:rsidR="00400BBF" w:rsidRPr="00400BBF" w:rsidTr="00400BBF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rPr>
                <w:b/>
                <w:bCs/>
              </w:rPr>
            </w:pPr>
          </w:p>
        </w:tc>
      </w:tr>
      <w:tr w:rsidR="00400BBF" w:rsidRPr="00400BBF" w:rsidTr="00400BBF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4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10 510,65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 на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8 408,52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 xml:space="preserve">оплата труда и отчисления </w:t>
            </w:r>
            <w:proofErr w:type="gramStart"/>
            <w:r w:rsidRPr="00400BBF">
              <w:t>на</w:t>
            </w:r>
            <w:proofErr w:type="gramEnd"/>
            <w:r w:rsidRPr="00400BBF"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20</w:t>
            </w:r>
          </w:p>
        </w:tc>
      </w:tr>
      <w:tr w:rsidR="00400BBF" w:rsidRPr="00400BBF" w:rsidTr="00400BBF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2 102,13</w:t>
            </w:r>
          </w:p>
        </w:tc>
      </w:tr>
      <w:tr w:rsidR="00400BBF" w:rsidRPr="00400BBF" w:rsidTr="00400BBF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10 510,65</w:t>
            </w:r>
          </w:p>
        </w:tc>
      </w:tr>
      <w:tr w:rsidR="00400BBF" w:rsidRPr="00400BBF" w:rsidTr="00400BBF">
        <w:trPr>
          <w:trHeight w:val="11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10 510,65</w:t>
            </w:r>
          </w:p>
        </w:tc>
      </w:tr>
      <w:tr w:rsidR="00400BBF" w:rsidRPr="00400BBF" w:rsidTr="00400BBF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сетей диаметром от 100 мм до 150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10 510,65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Протяженность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3,312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3.1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3,312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Протяженность сетей диаметром от 100 мм до 150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3,312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м</w:t>
            </w:r>
            <w:r w:rsidRPr="00400BBF">
              <w:rPr>
                <w:vertAlign w:val="superscript"/>
              </w:rPr>
              <w:t>3</w:t>
            </w:r>
            <w:r w:rsidRPr="00400BBF">
              <w:t>/</w:t>
            </w:r>
            <w:proofErr w:type="spellStart"/>
            <w:r w:rsidRPr="00400BBF">
              <w:t>сут</w:t>
            </w:r>
            <w:proofErr w:type="spellEnd"/>
            <w:r w:rsidRPr="00400BB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rPr>
                <w:bCs/>
              </w:rPr>
              <w:t>20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00BBF" w:rsidRPr="00400BBF" w:rsidRDefault="00400BBF" w:rsidP="00400BBF"/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руб./</w:t>
            </w:r>
            <w:proofErr w:type="gramStart"/>
            <w:r w:rsidRPr="00400BBF"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3 173,51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r w:rsidRPr="00400BBF"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BBF" w:rsidRPr="00400BBF" w:rsidRDefault="00400BBF" w:rsidP="00400BB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00BBF">
              <w:rPr>
                <w:rFonts w:eastAsia="Calibri"/>
                <w:lang w:eastAsia="en-US"/>
              </w:rPr>
              <w:t>Коэффициент для сетей диаметром от 100 мм до 150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1</w:t>
            </w:r>
          </w:p>
        </w:tc>
      </w:tr>
      <w:tr w:rsidR="00400BBF" w:rsidRPr="00400BBF" w:rsidTr="00400BBF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5.3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both"/>
            </w:pPr>
            <w:r w:rsidRPr="00400BBF"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тыс. руб./м</w:t>
            </w:r>
            <w:r w:rsidRPr="00400BBF">
              <w:rPr>
                <w:vertAlign w:val="superscript"/>
              </w:rPr>
              <w:t xml:space="preserve">3 </w:t>
            </w:r>
            <w:r w:rsidRPr="00400BBF">
              <w:t xml:space="preserve">в </w:t>
            </w:r>
            <w:proofErr w:type="spellStart"/>
            <w:r w:rsidRPr="00400BBF">
              <w:t>сут</w:t>
            </w:r>
            <w:proofErr w:type="spellEnd"/>
            <w:r w:rsidRPr="00400BBF"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0BBF" w:rsidRPr="00400BBF" w:rsidRDefault="00400BBF" w:rsidP="00400BBF">
            <w:pPr>
              <w:jc w:val="center"/>
            </w:pPr>
            <w:r w:rsidRPr="00400BBF">
              <w:t>-</w:t>
            </w:r>
          </w:p>
        </w:tc>
      </w:tr>
    </w:tbl>
    <w:p w:rsidR="00400BBF" w:rsidRPr="00400BBF" w:rsidRDefault="00400BBF" w:rsidP="00400BBF">
      <w:pPr>
        <w:spacing w:line="0" w:lineRule="atLeast"/>
        <w:ind w:right="-1"/>
        <w:rPr>
          <w:rFonts w:eastAsia="Calibri"/>
          <w:b/>
          <w:lang w:eastAsia="en-US"/>
        </w:rPr>
      </w:pPr>
      <w:r w:rsidRPr="00400BBF">
        <w:rPr>
          <w:rFonts w:eastAsia="Calibri"/>
          <w:sz w:val="24"/>
          <w:szCs w:val="24"/>
          <w:lang w:eastAsia="en-US"/>
        </w:rPr>
        <w:t xml:space="preserve">      </w:t>
      </w:r>
      <w:r w:rsidRPr="00400BBF">
        <w:t>*без учета налога на добавленную стоимость</w:t>
      </w:r>
    </w:p>
    <w:p w:rsidR="00400BBF" w:rsidRPr="00400BBF" w:rsidRDefault="00400BBF" w:rsidP="00400BBF">
      <w:pPr>
        <w:ind w:firstLine="709"/>
        <w:jc w:val="both"/>
        <w:rPr>
          <w:snapToGrid w:val="0"/>
          <w:sz w:val="24"/>
          <w:szCs w:val="24"/>
        </w:rPr>
      </w:pPr>
    </w:p>
    <w:p w:rsidR="00400BBF" w:rsidRPr="00400BBF" w:rsidRDefault="00400BBF" w:rsidP="00400BBF">
      <w:pPr>
        <w:ind w:right="-144"/>
        <w:jc w:val="center"/>
        <w:rPr>
          <w:b/>
          <w:sz w:val="24"/>
          <w:szCs w:val="24"/>
        </w:rPr>
      </w:pPr>
      <w:r w:rsidRPr="00400BBF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3B5D22">
      <w:headerReference w:type="default" r:id="rId9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22" w:rsidRDefault="003B5D22" w:rsidP="003B5D22">
      <w:r>
        <w:separator/>
      </w:r>
    </w:p>
  </w:endnote>
  <w:endnote w:type="continuationSeparator" w:id="0">
    <w:p w:rsidR="003B5D22" w:rsidRDefault="003B5D22" w:rsidP="003B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22" w:rsidRDefault="003B5D22" w:rsidP="003B5D22">
      <w:r>
        <w:separator/>
      </w:r>
    </w:p>
  </w:footnote>
  <w:footnote w:type="continuationSeparator" w:id="0">
    <w:p w:rsidR="003B5D22" w:rsidRDefault="003B5D22" w:rsidP="003B5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900565"/>
      <w:docPartObj>
        <w:docPartGallery w:val="Page Numbers (Top of Page)"/>
        <w:docPartUnique/>
      </w:docPartObj>
    </w:sdtPr>
    <w:sdtContent>
      <w:p w:rsidR="003B5D22" w:rsidRDefault="003B5D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B5D22" w:rsidRDefault="003B5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318"/>
    <w:multiLevelType w:val="hybridMultilevel"/>
    <w:tmpl w:val="A3C4287C"/>
    <w:lvl w:ilvl="0" w:tplc="703ADF46">
      <w:start w:val="1"/>
      <w:numFmt w:val="decimal"/>
      <w:pStyle w:val="a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5D22"/>
    <w:rsid w:val="003B6B87"/>
    <w:rsid w:val="003C3D4D"/>
    <w:rsid w:val="00400BBF"/>
    <w:rsid w:val="005A40CD"/>
    <w:rsid w:val="007057F1"/>
    <w:rsid w:val="007244AB"/>
    <w:rsid w:val="007753ED"/>
    <w:rsid w:val="00845C80"/>
    <w:rsid w:val="0084613E"/>
    <w:rsid w:val="00894DB5"/>
    <w:rsid w:val="00932E36"/>
    <w:rsid w:val="009A63CA"/>
    <w:rsid w:val="00A34C6B"/>
    <w:rsid w:val="00BD37E4"/>
    <w:rsid w:val="00E66E85"/>
    <w:rsid w:val="00E93883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845C80"/>
    <w:pPr>
      <w:numPr>
        <w:numId w:val="2"/>
      </w:numPr>
      <w:tabs>
        <w:tab w:val="left" w:pos="851"/>
      </w:tabs>
      <w:ind w:left="0" w:firstLine="567"/>
      <w:jc w:val="both"/>
    </w:pPr>
    <w:rPr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B5D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B5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B5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B5D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Paragraph"/>
    <w:basedOn w:val="a0"/>
    <w:autoRedefine/>
    <w:uiPriority w:val="34"/>
    <w:qFormat/>
    <w:rsid w:val="00845C80"/>
    <w:pPr>
      <w:numPr>
        <w:numId w:val="2"/>
      </w:numPr>
      <w:tabs>
        <w:tab w:val="left" w:pos="851"/>
      </w:tabs>
      <w:ind w:left="0" w:firstLine="567"/>
      <w:jc w:val="both"/>
    </w:pPr>
    <w:rPr>
      <w:bCs/>
      <w:sz w:val="24"/>
      <w:szCs w:val="24"/>
    </w:rPr>
  </w:style>
  <w:style w:type="paragraph" w:styleId="a6">
    <w:name w:val="header"/>
    <w:basedOn w:val="a0"/>
    <w:link w:val="a7"/>
    <w:uiPriority w:val="99"/>
    <w:unhideWhenUsed/>
    <w:rsid w:val="003B5D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B5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B5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B5D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_kuryilko\Desktop\&#1050;&#1091;&#1088;&#1099;&#1083;&#1082;&#1086;%20&#1084;&#1086;&#1103;\&#1042;&#1089;&#1077;&#1074;&#1086;&#1083;&#1086;&#1078;&#1089;&#1082;&#1080;&#1081;%20&#1088;&#1077;&#1075;&#1091;&#1083;&#1080;&#1088;&#1086;&#1074;&#1072;&#1085;&#1080;&#1077;%202017,2018,2019\&#1053;&#1072;&#1089;&#1077;&#1083;&#1077;&#1085;&#1080;&#1077;\&#1044;&#1083;&#1103;%20&#1087;&#1088;&#1080;&#1082;&#1072;&#1079;&#1072;%20&#1085;&#1072;%202018%20&#1075;&#1086;&#1076;%20&#1087;&#1086;%20&#1085;&#1072;&#1089;&#1077;&#1083;&#1077;&#1085;&#1080;&#1102;%20&#1042;&#1089;&#1077;&#1074;&#1086;&#1083;&#1086;&#1078;&#1089;&#1082;&#1086;&#1075;&#1086;%20&#1088;&#1072;&#1081;&#1086;&#1085;&#1072;%20-&#1089;%20&#1085;&#1086;&#1074;&#1099;&#1084;%20&#1090;&#1072;&#1088;&#1080;&#1092;&#1086;&#1084;%20&#1042;&#1058;&#1057;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7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23</cp:revision>
  <cp:lastPrinted>2014-10-27T07:52:00Z</cp:lastPrinted>
  <dcterms:created xsi:type="dcterms:W3CDTF">2014-10-27T07:45:00Z</dcterms:created>
  <dcterms:modified xsi:type="dcterms:W3CDTF">2018-10-02T06:53:00Z</dcterms:modified>
</cp:coreProperties>
</file>