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267786">
        <w:rPr>
          <w:b/>
          <w:color w:val="000000"/>
          <w:sz w:val="24"/>
          <w:szCs w:val="24"/>
        </w:rPr>
        <w:t>7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D31231" w:rsidP="007057F1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267786">
        <w:rPr>
          <w:sz w:val="24"/>
          <w:szCs w:val="24"/>
        </w:rPr>
        <w:t xml:space="preserve"> 2020</w:t>
      </w:r>
      <w:r w:rsidR="007057F1">
        <w:rPr>
          <w:sz w:val="24"/>
          <w:szCs w:val="24"/>
        </w:rPr>
        <w:t xml:space="preserve"> года          </w:t>
      </w:r>
      <w:r w:rsidR="0026778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</w:t>
      </w:r>
      <w:r w:rsidR="007057F1">
        <w:rPr>
          <w:sz w:val="24"/>
          <w:szCs w:val="24"/>
        </w:rPr>
        <w:t xml:space="preserve">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="0047253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 xml:space="preserve">, </w:t>
      </w:r>
      <w:r w:rsidR="00FC76C7">
        <w:rPr>
          <w:sz w:val="24"/>
          <w:szCs w:val="24"/>
        </w:rPr>
        <w:t>Курылко Светлана Анатольевн</w:t>
      </w:r>
      <w:r w:rsidR="00C62583">
        <w:rPr>
          <w:sz w:val="24"/>
          <w:szCs w:val="24"/>
        </w:rPr>
        <w:t>а, Марков Александр Евгеньевич</w:t>
      </w:r>
      <w:r w:rsidR="00267786">
        <w:rPr>
          <w:sz w:val="24"/>
          <w:szCs w:val="24"/>
        </w:rPr>
        <w:t>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267786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D31231" w:rsidRDefault="00D31231" w:rsidP="00267786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267786" w:rsidRPr="00267786" w:rsidRDefault="00267786" w:rsidP="00267786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267786">
        <w:rPr>
          <w:sz w:val="24"/>
          <w:szCs w:val="24"/>
        </w:rPr>
        <w:t>Об установлении предельных тарифов на транспортные услуги, оказываемые на подъездных железнодорожных путях необщего пользования обществом с ограниченной ответственностью «</w:t>
      </w:r>
      <w:proofErr w:type="spellStart"/>
      <w:r w:rsidRPr="00267786">
        <w:rPr>
          <w:sz w:val="24"/>
          <w:szCs w:val="24"/>
        </w:rPr>
        <w:t>Кингисеппкий</w:t>
      </w:r>
      <w:proofErr w:type="spellEnd"/>
      <w:r w:rsidRPr="00267786">
        <w:rPr>
          <w:sz w:val="24"/>
          <w:szCs w:val="24"/>
        </w:rPr>
        <w:t xml:space="preserve"> стекольный завод» на территории Ленинградской области, на 2020 год.</w:t>
      </w:r>
    </w:p>
    <w:p w:rsidR="00267786" w:rsidRPr="00267786" w:rsidRDefault="00267786" w:rsidP="00267786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gramStart"/>
      <w:r w:rsidRPr="00267786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 553-п «Об установлении долгосрочных параметров регулирования деятельности, тарифов на тепловую энергию на коллекторах источника тепловой энергии и теплоноситель, поставляемые публичным акционерным обществом «Вторая генерирующая компания оптового рынка электрической энергии» (филиал «</w:t>
      </w:r>
      <w:proofErr w:type="spellStart"/>
      <w:r w:rsidRPr="00267786">
        <w:rPr>
          <w:sz w:val="24"/>
          <w:szCs w:val="24"/>
        </w:rPr>
        <w:t>Киришская</w:t>
      </w:r>
      <w:proofErr w:type="spellEnd"/>
      <w:r w:rsidRPr="00267786">
        <w:rPr>
          <w:sz w:val="24"/>
          <w:szCs w:val="24"/>
        </w:rPr>
        <w:t xml:space="preserve"> ГРЭС») потребителям на территории Ленинградской области, на долгосрочный период регулирования 2019-2023</w:t>
      </w:r>
      <w:proofErr w:type="gramEnd"/>
      <w:r w:rsidRPr="00267786">
        <w:rPr>
          <w:sz w:val="24"/>
          <w:szCs w:val="24"/>
        </w:rPr>
        <w:t xml:space="preserve"> годов».</w:t>
      </w:r>
    </w:p>
    <w:p w:rsidR="00267786" w:rsidRDefault="00267786" w:rsidP="00267786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267786">
        <w:rPr>
          <w:sz w:val="24"/>
          <w:szCs w:val="24"/>
        </w:rPr>
        <w:t xml:space="preserve">Об установлении тарифов на подключение (технологическое присоединение) к централизованным системам холодного водоснабжения и водоотведения </w:t>
      </w:r>
      <w:proofErr w:type="spellStart"/>
      <w:r w:rsidRPr="00267786">
        <w:rPr>
          <w:sz w:val="24"/>
          <w:szCs w:val="24"/>
        </w:rPr>
        <w:t>Сосновоборского</w:t>
      </w:r>
      <w:proofErr w:type="spellEnd"/>
      <w:r w:rsidRPr="00267786">
        <w:rPr>
          <w:sz w:val="24"/>
          <w:szCs w:val="24"/>
        </w:rPr>
        <w:t xml:space="preserve"> муниципального унитарного предприятия «ВОДОКАНАЛ» объектов капитального строительства заявителей, расположенных на территории муниципального образования «</w:t>
      </w:r>
      <w:proofErr w:type="spellStart"/>
      <w:r w:rsidRPr="00267786">
        <w:rPr>
          <w:sz w:val="24"/>
          <w:szCs w:val="24"/>
        </w:rPr>
        <w:t>Сосновоборский</w:t>
      </w:r>
      <w:proofErr w:type="spellEnd"/>
      <w:r w:rsidRPr="00267786">
        <w:rPr>
          <w:sz w:val="24"/>
          <w:szCs w:val="24"/>
        </w:rPr>
        <w:t xml:space="preserve"> городской округ» Ленинградской области на 2020 год.</w:t>
      </w:r>
    </w:p>
    <w:p w:rsidR="00561106" w:rsidRPr="00561106" w:rsidRDefault="00561106" w:rsidP="00561106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61106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 w:rsidRPr="00561106">
        <w:rPr>
          <w:sz w:val="24"/>
          <w:szCs w:val="24"/>
        </w:rPr>
        <w:t>индивидуальному проекту</w:t>
      </w:r>
      <w:proofErr w:type="gramEnd"/>
      <w:r w:rsidRPr="00561106">
        <w:rPr>
          <w:sz w:val="24"/>
          <w:szCs w:val="24"/>
        </w:rPr>
        <w:t>: «Наружный газопровод до границ земельного участка, расположенного по адресу: Ленинградская область, Выборгский район, МО «Приморское сельское поселение», пос. Озерки (</w:t>
      </w:r>
      <w:proofErr w:type="spellStart"/>
      <w:r w:rsidRPr="00561106">
        <w:rPr>
          <w:sz w:val="24"/>
          <w:szCs w:val="24"/>
        </w:rPr>
        <w:t>кад</w:t>
      </w:r>
      <w:proofErr w:type="spellEnd"/>
      <w:r w:rsidRPr="00561106">
        <w:rPr>
          <w:sz w:val="24"/>
          <w:szCs w:val="24"/>
        </w:rPr>
        <w:t>. № 47:01:1310001:355)».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67786" w:rsidRPr="00267786" w:rsidRDefault="00267786" w:rsidP="00267786">
      <w:pPr>
        <w:ind w:firstLine="567"/>
        <w:jc w:val="both"/>
        <w:rPr>
          <w:bCs/>
          <w:sz w:val="24"/>
          <w:szCs w:val="24"/>
          <w:lang w:eastAsia="x-none"/>
        </w:rPr>
      </w:pPr>
      <w:r>
        <w:rPr>
          <w:b/>
          <w:sz w:val="24"/>
          <w:szCs w:val="24"/>
        </w:rPr>
        <w:t xml:space="preserve">1. </w:t>
      </w:r>
      <w:proofErr w:type="gramStart"/>
      <w:r w:rsidRPr="00267786">
        <w:rPr>
          <w:b/>
          <w:sz w:val="24"/>
          <w:szCs w:val="24"/>
        </w:rPr>
        <w:t>По вопросу повестки «Об установлении предельных тарифов на транспортные услуги, оказываемые на подъездных железнодорожных путях необщего пользования обществом с  ограниченной ответственностью «</w:t>
      </w:r>
      <w:proofErr w:type="spellStart"/>
      <w:r w:rsidRPr="00267786">
        <w:rPr>
          <w:b/>
          <w:sz w:val="24"/>
          <w:szCs w:val="24"/>
        </w:rPr>
        <w:t>Кингисеппский</w:t>
      </w:r>
      <w:proofErr w:type="spellEnd"/>
      <w:r w:rsidRPr="00267786">
        <w:rPr>
          <w:b/>
          <w:sz w:val="24"/>
          <w:szCs w:val="24"/>
        </w:rPr>
        <w:t xml:space="preserve"> стекольный завод» сторонним потребителям, на 2020 год»</w:t>
      </w:r>
      <w:r w:rsidRPr="00267786">
        <w:rPr>
          <w:sz w:val="24"/>
          <w:szCs w:val="24"/>
        </w:rPr>
        <w:t xml:space="preserve"> 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Pr="00267786">
        <w:rPr>
          <w:sz w:val="24"/>
          <w:szCs w:val="24"/>
        </w:rPr>
        <w:t>Синюкова</w:t>
      </w:r>
      <w:proofErr w:type="spellEnd"/>
      <w:r w:rsidRPr="00267786">
        <w:rPr>
          <w:sz w:val="24"/>
          <w:szCs w:val="24"/>
        </w:rPr>
        <w:t xml:space="preserve"> И.В.</w:t>
      </w:r>
      <w:r>
        <w:rPr>
          <w:sz w:val="24"/>
          <w:szCs w:val="24"/>
        </w:rPr>
        <w:t xml:space="preserve"> и</w:t>
      </w:r>
      <w:r w:rsidRPr="00267786">
        <w:rPr>
          <w:sz w:val="24"/>
          <w:szCs w:val="24"/>
        </w:rPr>
        <w:t xml:space="preserve"> изложила основные положения экспертного заключения </w:t>
      </w:r>
      <w:r w:rsidRPr="00267786">
        <w:rPr>
          <w:bCs/>
          <w:sz w:val="24"/>
          <w:szCs w:val="24"/>
          <w:lang w:val="x-none" w:eastAsia="x-none"/>
        </w:rPr>
        <w:t>по результатам рассмотрения расчетных материалов по обоснованию уровня</w:t>
      </w:r>
      <w:proofErr w:type="gramEnd"/>
      <w:r w:rsidRPr="00267786">
        <w:rPr>
          <w:bCs/>
          <w:sz w:val="24"/>
          <w:szCs w:val="24"/>
          <w:lang w:val="x-none" w:eastAsia="x-none"/>
        </w:rPr>
        <w:t xml:space="preserve"> </w:t>
      </w:r>
      <w:proofErr w:type="gramStart"/>
      <w:r w:rsidRPr="00267786">
        <w:rPr>
          <w:bCs/>
          <w:sz w:val="24"/>
          <w:szCs w:val="24"/>
          <w:lang w:eastAsia="x-none"/>
        </w:rPr>
        <w:t>тарифов на транспортные услуги, оказываемые на подъездных железнодорожных путях необщего пользования ООО «</w:t>
      </w:r>
      <w:proofErr w:type="spellStart"/>
      <w:r w:rsidRPr="00267786">
        <w:rPr>
          <w:bCs/>
          <w:sz w:val="24"/>
          <w:szCs w:val="24"/>
          <w:lang w:eastAsia="x-none"/>
        </w:rPr>
        <w:t>Кингисеппский</w:t>
      </w:r>
      <w:proofErr w:type="spellEnd"/>
      <w:r w:rsidRPr="00267786">
        <w:rPr>
          <w:bCs/>
          <w:sz w:val="24"/>
          <w:szCs w:val="24"/>
          <w:lang w:eastAsia="x-none"/>
        </w:rPr>
        <w:t xml:space="preserve"> стекольный завод» на территории Ленинградской области на 2020 год, </w:t>
      </w:r>
      <w:r>
        <w:rPr>
          <w:bCs/>
          <w:sz w:val="24"/>
          <w:szCs w:val="24"/>
          <w:lang w:eastAsia="x-none"/>
        </w:rPr>
        <w:t xml:space="preserve">подготовленного на основании </w:t>
      </w:r>
      <w:r w:rsidRPr="00267786">
        <w:rPr>
          <w:bCs/>
          <w:sz w:val="24"/>
          <w:szCs w:val="24"/>
          <w:lang w:eastAsia="x-none"/>
        </w:rPr>
        <w:t>обращени</w:t>
      </w:r>
      <w:r>
        <w:rPr>
          <w:bCs/>
          <w:sz w:val="24"/>
          <w:szCs w:val="24"/>
          <w:lang w:eastAsia="x-none"/>
        </w:rPr>
        <w:t>я</w:t>
      </w:r>
      <w:r w:rsidRPr="00267786">
        <w:rPr>
          <w:bCs/>
          <w:sz w:val="24"/>
          <w:szCs w:val="24"/>
          <w:lang w:eastAsia="x-none"/>
        </w:rPr>
        <w:t xml:space="preserve"> </w:t>
      </w:r>
      <w:r>
        <w:rPr>
          <w:bCs/>
          <w:sz w:val="24"/>
          <w:szCs w:val="24"/>
          <w:lang w:eastAsia="x-none"/>
        </w:rPr>
        <w:br/>
      </w:r>
      <w:r w:rsidRPr="00267786">
        <w:rPr>
          <w:bCs/>
          <w:sz w:val="24"/>
          <w:szCs w:val="24"/>
          <w:lang w:eastAsia="x-none"/>
        </w:rPr>
        <w:t xml:space="preserve">от 26.11.2019 </w:t>
      </w:r>
      <w:r>
        <w:rPr>
          <w:bCs/>
          <w:sz w:val="24"/>
          <w:szCs w:val="24"/>
          <w:lang w:eastAsia="x-none"/>
        </w:rPr>
        <w:t xml:space="preserve">исх. </w:t>
      </w:r>
      <w:r w:rsidRPr="00267786">
        <w:rPr>
          <w:bCs/>
          <w:sz w:val="24"/>
          <w:szCs w:val="24"/>
          <w:lang w:eastAsia="x-none"/>
        </w:rPr>
        <w:t>№ 446 (</w:t>
      </w:r>
      <w:proofErr w:type="spellStart"/>
      <w:r w:rsidRPr="00267786">
        <w:rPr>
          <w:bCs/>
          <w:sz w:val="24"/>
          <w:szCs w:val="24"/>
          <w:lang w:eastAsia="x-none"/>
        </w:rPr>
        <w:t>вх</w:t>
      </w:r>
      <w:proofErr w:type="spellEnd"/>
      <w:r w:rsidRPr="00267786">
        <w:rPr>
          <w:bCs/>
          <w:sz w:val="24"/>
          <w:szCs w:val="24"/>
          <w:lang w:eastAsia="x-none"/>
        </w:rPr>
        <w:t>.</w:t>
      </w:r>
      <w:proofErr w:type="gramEnd"/>
      <w:r w:rsidRPr="00267786">
        <w:rPr>
          <w:bCs/>
          <w:sz w:val="24"/>
          <w:szCs w:val="24"/>
          <w:lang w:eastAsia="x-none"/>
        </w:rPr>
        <w:t xml:space="preserve"> № </w:t>
      </w:r>
      <w:proofErr w:type="gramStart"/>
      <w:r w:rsidRPr="00267786">
        <w:rPr>
          <w:bCs/>
          <w:sz w:val="24"/>
          <w:szCs w:val="24"/>
          <w:lang w:eastAsia="x-none"/>
        </w:rPr>
        <w:t>КТ-1-7307/2019 от 27.11.2019).</w:t>
      </w:r>
      <w:proofErr w:type="gramEnd"/>
    </w:p>
    <w:p w:rsidR="00267786" w:rsidRPr="00267786" w:rsidRDefault="00267786" w:rsidP="00267786">
      <w:pPr>
        <w:ind w:firstLine="567"/>
        <w:jc w:val="both"/>
        <w:rPr>
          <w:b/>
          <w:sz w:val="24"/>
          <w:szCs w:val="24"/>
        </w:rPr>
      </w:pPr>
      <w:r w:rsidRPr="00267786">
        <w:rPr>
          <w:bCs/>
          <w:sz w:val="24"/>
          <w:szCs w:val="24"/>
          <w:lang w:eastAsia="x-none"/>
        </w:rPr>
        <w:t>Присутствующий на заседании Правления ЛенРТК представитель ООО «</w:t>
      </w:r>
      <w:proofErr w:type="spellStart"/>
      <w:r w:rsidRPr="00267786">
        <w:rPr>
          <w:bCs/>
          <w:sz w:val="24"/>
          <w:szCs w:val="24"/>
          <w:lang w:eastAsia="x-none"/>
        </w:rPr>
        <w:t>Кингисеппский</w:t>
      </w:r>
      <w:proofErr w:type="spellEnd"/>
      <w:r w:rsidRPr="00267786">
        <w:rPr>
          <w:bCs/>
          <w:sz w:val="24"/>
          <w:szCs w:val="24"/>
          <w:lang w:eastAsia="x-none"/>
        </w:rPr>
        <w:t xml:space="preserve"> стекольный завод» </w:t>
      </w:r>
      <w:proofErr w:type="spellStart"/>
      <w:r w:rsidRPr="00267786">
        <w:rPr>
          <w:bCs/>
          <w:sz w:val="24"/>
          <w:szCs w:val="24"/>
          <w:lang w:eastAsia="x-none"/>
        </w:rPr>
        <w:t>Роменский</w:t>
      </w:r>
      <w:proofErr w:type="spellEnd"/>
      <w:r w:rsidRPr="00267786">
        <w:rPr>
          <w:bCs/>
          <w:sz w:val="24"/>
          <w:szCs w:val="24"/>
          <w:lang w:eastAsia="x-none"/>
        </w:rPr>
        <w:t xml:space="preserve"> С.П. (по доверенности № 841/10 от 27.02.2020) выразил свое согласие с тарифом.</w:t>
      </w:r>
    </w:p>
    <w:p w:rsidR="00267786" w:rsidRPr="00267786" w:rsidRDefault="00267786" w:rsidP="00267786">
      <w:pPr>
        <w:ind w:firstLine="720"/>
        <w:jc w:val="both"/>
        <w:rPr>
          <w:b/>
          <w:snapToGrid w:val="0"/>
          <w:sz w:val="24"/>
          <w:szCs w:val="24"/>
        </w:rPr>
      </w:pPr>
    </w:p>
    <w:p w:rsidR="00267786" w:rsidRPr="00267786" w:rsidRDefault="00267786" w:rsidP="00267786">
      <w:pPr>
        <w:ind w:firstLine="567"/>
        <w:jc w:val="both"/>
        <w:rPr>
          <w:b/>
          <w:snapToGrid w:val="0"/>
          <w:sz w:val="24"/>
          <w:szCs w:val="24"/>
        </w:rPr>
      </w:pPr>
      <w:r w:rsidRPr="00267786">
        <w:rPr>
          <w:b/>
          <w:snapToGrid w:val="0"/>
          <w:sz w:val="24"/>
          <w:szCs w:val="24"/>
        </w:rPr>
        <w:t>Правление приняло решение:</w:t>
      </w:r>
    </w:p>
    <w:p w:rsidR="00267786" w:rsidRPr="00267786" w:rsidRDefault="00267786" w:rsidP="00267786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67786">
        <w:rPr>
          <w:sz w:val="24"/>
          <w:szCs w:val="24"/>
        </w:rPr>
        <w:t xml:space="preserve">Принять технико-экономические показатели </w:t>
      </w:r>
      <w:r w:rsidRPr="00267786">
        <w:rPr>
          <w:snapToGrid w:val="0"/>
          <w:sz w:val="24"/>
          <w:szCs w:val="24"/>
        </w:rPr>
        <w:t>общества с ограниченной ответственностью «</w:t>
      </w:r>
      <w:proofErr w:type="spellStart"/>
      <w:r w:rsidRPr="00267786">
        <w:rPr>
          <w:snapToGrid w:val="0"/>
          <w:sz w:val="24"/>
          <w:szCs w:val="24"/>
        </w:rPr>
        <w:t>Кингисеппский</w:t>
      </w:r>
      <w:proofErr w:type="spellEnd"/>
      <w:r w:rsidRPr="00267786">
        <w:rPr>
          <w:snapToGrid w:val="0"/>
          <w:sz w:val="24"/>
          <w:szCs w:val="24"/>
        </w:rPr>
        <w:t xml:space="preserve"> стекольный завод»</w:t>
      </w:r>
      <w:r w:rsidRPr="00267786">
        <w:rPr>
          <w:sz w:val="24"/>
          <w:szCs w:val="24"/>
        </w:rPr>
        <w:t xml:space="preserve"> на территории Ленинградской области на 2020 год:</w:t>
      </w:r>
    </w:p>
    <w:p w:rsidR="00267786" w:rsidRDefault="00267786" w:rsidP="00267786">
      <w:pPr>
        <w:ind w:firstLine="720"/>
        <w:jc w:val="center"/>
        <w:rPr>
          <w:sz w:val="24"/>
          <w:szCs w:val="24"/>
        </w:rPr>
      </w:pPr>
    </w:p>
    <w:p w:rsidR="00D31231" w:rsidRDefault="00D31231" w:rsidP="00267786">
      <w:pPr>
        <w:ind w:firstLine="720"/>
        <w:jc w:val="center"/>
        <w:rPr>
          <w:sz w:val="24"/>
          <w:szCs w:val="24"/>
        </w:rPr>
      </w:pPr>
    </w:p>
    <w:p w:rsidR="00267786" w:rsidRPr="00267786" w:rsidRDefault="00267786" w:rsidP="00267786">
      <w:pPr>
        <w:pStyle w:val="a5"/>
        <w:numPr>
          <w:ilvl w:val="1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67786">
        <w:rPr>
          <w:sz w:val="24"/>
          <w:szCs w:val="24"/>
        </w:rPr>
        <w:t>Предельный тариф на услуги по перевозке грузов (подаче и уборке вагонов), оказываемые</w:t>
      </w:r>
      <w:r w:rsidRPr="00267786">
        <w:t xml:space="preserve"> </w:t>
      </w:r>
      <w:r w:rsidRPr="00267786">
        <w:rPr>
          <w:sz w:val="24"/>
          <w:szCs w:val="24"/>
        </w:rPr>
        <w:t xml:space="preserve">на подъездных железнодорожных путях необщего пользования </w:t>
      </w:r>
    </w:p>
    <w:p w:rsidR="00267786" w:rsidRDefault="00267786" w:rsidP="00267786">
      <w:pPr>
        <w:ind w:firstLine="720"/>
        <w:jc w:val="center"/>
        <w:rPr>
          <w:sz w:val="24"/>
          <w:szCs w:val="24"/>
        </w:rPr>
      </w:pPr>
      <w:r w:rsidRPr="00267786">
        <w:rPr>
          <w:sz w:val="24"/>
          <w:szCs w:val="24"/>
        </w:rPr>
        <w:t>ООО «</w:t>
      </w:r>
      <w:proofErr w:type="spellStart"/>
      <w:r w:rsidRPr="00267786">
        <w:rPr>
          <w:sz w:val="24"/>
          <w:szCs w:val="24"/>
        </w:rPr>
        <w:t>Кингисеппский</w:t>
      </w:r>
      <w:proofErr w:type="spellEnd"/>
      <w:r w:rsidRPr="00267786">
        <w:rPr>
          <w:sz w:val="24"/>
          <w:szCs w:val="24"/>
        </w:rPr>
        <w:t xml:space="preserve"> стекольный завод»</w:t>
      </w:r>
    </w:p>
    <w:p w:rsidR="00267786" w:rsidRDefault="00267786" w:rsidP="00267786">
      <w:pPr>
        <w:ind w:firstLine="720"/>
        <w:jc w:val="center"/>
        <w:rPr>
          <w:sz w:val="24"/>
          <w:szCs w:val="24"/>
        </w:rPr>
      </w:pPr>
    </w:p>
    <w:p w:rsidR="00267786" w:rsidRPr="00267786" w:rsidRDefault="00267786" w:rsidP="00267786">
      <w:pPr>
        <w:ind w:firstLine="720"/>
        <w:jc w:val="center"/>
        <w:rPr>
          <w:sz w:val="24"/>
          <w:szCs w:val="24"/>
        </w:rPr>
      </w:pPr>
    </w:p>
    <w:tbl>
      <w:tblPr>
        <w:tblW w:w="10348" w:type="dxa"/>
        <w:tblInd w:w="-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56"/>
        <w:gridCol w:w="2499"/>
        <w:gridCol w:w="689"/>
        <w:gridCol w:w="1401"/>
        <w:gridCol w:w="1213"/>
        <w:gridCol w:w="1197"/>
        <w:gridCol w:w="2693"/>
      </w:tblGrid>
      <w:tr w:rsidR="00267786" w:rsidRPr="00267786" w:rsidTr="00267786">
        <w:trPr>
          <w:trHeight w:val="367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</w:rPr>
            </w:pPr>
            <w:r w:rsidRPr="00267786">
              <w:rPr>
                <w:bCs/>
              </w:rPr>
              <w:t xml:space="preserve">№ </w:t>
            </w:r>
            <w:proofErr w:type="gramStart"/>
            <w:r w:rsidRPr="00267786">
              <w:rPr>
                <w:bCs/>
              </w:rPr>
              <w:t>п</w:t>
            </w:r>
            <w:proofErr w:type="gramEnd"/>
            <w:r w:rsidRPr="00267786">
              <w:rPr>
                <w:bCs/>
              </w:rPr>
              <w:t>/п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</w:rPr>
            </w:pPr>
            <w:r w:rsidRPr="00267786">
              <w:rPr>
                <w:bCs/>
              </w:rPr>
              <w:t>Статьи затрат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</w:rPr>
            </w:pPr>
            <w:r w:rsidRPr="00267786">
              <w:t>Ед. изм.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План на 2020 год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</w:pPr>
            <w:proofErr w:type="spellStart"/>
            <w:proofErr w:type="gramStart"/>
            <w:r w:rsidRPr="00267786">
              <w:t>Отклоне-ние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Причины отклонений</w:t>
            </w:r>
          </w:p>
        </w:tc>
      </w:tr>
      <w:tr w:rsidR="00267786" w:rsidRPr="00267786" w:rsidTr="00267786">
        <w:trPr>
          <w:trHeight w:val="691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786" w:rsidRPr="00267786" w:rsidRDefault="00267786" w:rsidP="00267786">
            <w:pPr>
              <w:jc w:val="center"/>
              <w:rPr>
                <w:color w:val="FF000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786" w:rsidRPr="00267786" w:rsidRDefault="00267786" w:rsidP="00267786">
            <w:pPr>
              <w:jc w:val="center"/>
              <w:rPr>
                <w:color w:val="FF000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786" w:rsidRPr="00267786" w:rsidRDefault="00267786" w:rsidP="00267786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</w:rPr>
            </w:pPr>
            <w:r w:rsidRPr="00267786">
              <w:rPr>
                <w:bCs/>
              </w:rPr>
              <w:t>по данным</w:t>
            </w:r>
          </w:p>
          <w:p w:rsidR="00267786" w:rsidRPr="00267786" w:rsidRDefault="00267786" w:rsidP="00267786">
            <w:pPr>
              <w:jc w:val="center"/>
              <w:rPr>
                <w:bCs/>
              </w:rPr>
            </w:pPr>
            <w:r w:rsidRPr="00267786">
              <w:rPr>
                <w:bCs/>
              </w:rPr>
              <w:t>предприятия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</w:rPr>
            </w:pPr>
            <w:r w:rsidRPr="00267786">
              <w:rPr>
                <w:bCs/>
              </w:rPr>
              <w:t>по данным ЛенРТК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786" w:rsidRPr="00267786" w:rsidRDefault="00267786" w:rsidP="00267786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786" w:rsidRPr="00267786" w:rsidRDefault="00267786" w:rsidP="00267786">
            <w:pPr>
              <w:jc w:val="center"/>
              <w:rPr>
                <w:bCs/>
                <w:color w:val="FF0000"/>
              </w:rPr>
            </w:pPr>
          </w:p>
        </w:tc>
      </w:tr>
      <w:tr w:rsidR="00267786" w:rsidRPr="00267786" w:rsidTr="00267786">
        <w:trPr>
          <w:trHeight w:val="2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  <w:i/>
              </w:rPr>
            </w:pPr>
            <w:r w:rsidRPr="00267786">
              <w:rPr>
                <w:bCs/>
                <w:i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  <w:i/>
              </w:rPr>
            </w:pPr>
            <w:r w:rsidRPr="00267786">
              <w:rPr>
                <w:bCs/>
                <w:i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  <w:i/>
              </w:rPr>
            </w:pPr>
            <w:r w:rsidRPr="00267786">
              <w:rPr>
                <w:bCs/>
                <w:i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  <w:i/>
              </w:rPr>
            </w:pPr>
            <w:r w:rsidRPr="00267786">
              <w:rPr>
                <w:bCs/>
                <w:i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  <w:i/>
              </w:rPr>
            </w:pPr>
            <w:r w:rsidRPr="00267786">
              <w:rPr>
                <w:bCs/>
                <w:i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  <w:i/>
              </w:rPr>
            </w:pPr>
            <w:r w:rsidRPr="00267786">
              <w:rPr>
                <w:bCs/>
                <w:i/>
              </w:rPr>
              <w:t>7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rPr>
                <w:b/>
                <w:bCs/>
              </w:rPr>
            </w:pPr>
            <w:r w:rsidRPr="00267786">
              <w:rPr>
                <w:b/>
                <w:bCs/>
              </w:rPr>
              <w:t xml:space="preserve">Прямые расходы, в </w:t>
            </w:r>
            <w:proofErr w:type="spellStart"/>
            <w:r w:rsidRPr="00267786">
              <w:rPr>
                <w:b/>
                <w:bCs/>
              </w:rPr>
              <w:t>т.ч</w:t>
            </w:r>
            <w:proofErr w:type="spellEnd"/>
            <w:r w:rsidRPr="00267786">
              <w:rPr>
                <w:b/>
                <w:bCs/>
              </w:rPr>
              <w:t>.: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5 688,12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8 457,98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2 769,86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1.1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rPr>
                <w:color w:val="000000"/>
              </w:rPr>
            </w:pPr>
            <w:r w:rsidRPr="00267786">
              <w:rPr>
                <w:color w:val="000000"/>
              </w:rPr>
              <w:t>Материалы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531,22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279,69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-251,53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Затраты приняты на заявленном уровне, с учетом распределения пропорционально доле выручки (52,65%)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1.2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Дизтопливо и смазочные материалы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1.3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Оплата труда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386,92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1 413,67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1 026,75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Корректировка произведена с учетом ожидаемого результата 2019 года и  ИПЦ на 2020 год, с учетом распределения затрат пропорционально доле выручки (52,65%)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1.4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Отчисления на социальные нужды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117,24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442,48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325,24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31,3% от заработной платы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1.5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Амортизационные отчисления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1.6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Арендная плата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486,07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4 128,39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3 642,32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Затраты приняты на заявленном уровне, с учетом распределения пропорционально доле выручки (52,65%)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1.7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Ремонт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4 166,67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2 193,75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-1 972,92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Затраты приняты на заявленном уровне, с учетом распределения пропорционально доле выручки (52,65%)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rPr>
                <w:b/>
                <w:bCs/>
              </w:rPr>
            </w:pPr>
            <w:r w:rsidRPr="00267786">
              <w:rPr>
                <w:b/>
                <w:bCs/>
              </w:rPr>
              <w:t xml:space="preserve">Накладные </w:t>
            </w:r>
            <w:proofErr w:type="gramStart"/>
            <w:r w:rsidRPr="00267786">
              <w:rPr>
                <w:b/>
                <w:bCs/>
              </w:rPr>
              <w:t>расходы-всего</w:t>
            </w:r>
            <w:proofErr w:type="gramEnd"/>
            <w:r w:rsidRPr="00267786">
              <w:rPr>
                <w:b/>
                <w:bCs/>
              </w:rPr>
              <w:t xml:space="preserve">, в </w:t>
            </w:r>
            <w:proofErr w:type="spellStart"/>
            <w:r w:rsidRPr="00267786">
              <w:rPr>
                <w:b/>
                <w:bCs/>
              </w:rPr>
              <w:t>т.ч</w:t>
            </w:r>
            <w:proofErr w:type="spellEnd"/>
            <w:r w:rsidRPr="00267786">
              <w:rPr>
                <w:b/>
                <w:bCs/>
              </w:rPr>
              <w:t>.: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6 120,93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3 158,78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-2 962,15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2.1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Общепроизводственные  расходы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5 938,40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2 977,89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-2 960,51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 xml:space="preserve">Корректировка произведена за счет исключения затрат на аренду тепловоза, учтенных в статье «Аренда», уменьшения затрат за пропуск вагонов по железнодорожным путям ООО "ПГ "Фосфорит", </w:t>
            </w:r>
            <w:proofErr w:type="spellStart"/>
            <w:r w:rsidRPr="00267786">
              <w:t>учтеных</w:t>
            </w:r>
            <w:proofErr w:type="spellEnd"/>
            <w:r w:rsidRPr="00267786">
              <w:t xml:space="preserve"> в расчете тарифа за подачу и уборку вагонов и исходя из распределения заявленных затрат пропорционально доле выручки (52,65%)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lastRenderedPageBreak/>
              <w:t>2.2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Общехозяйственные расходы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182,53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180,89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-1,64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Корректировка произведена с учетом ожидаемого результата 2019 года и  ИЦП на 2020 год, с учетом распределения затрат пропорционально доле выручки (52,65%)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rPr>
                <w:b/>
                <w:bCs/>
              </w:rPr>
            </w:pPr>
            <w:r w:rsidRPr="00267786">
              <w:rPr>
                <w:b/>
                <w:bCs/>
              </w:rPr>
              <w:t xml:space="preserve">Итого затраты, в </w:t>
            </w:r>
            <w:proofErr w:type="spellStart"/>
            <w:r w:rsidRPr="00267786">
              <w:rPr>
                <w:b/>
                <w:bCs/>
              </w:rPr>
              <w:t>т.ч</w:t>
            </w:r>
            <w:proofErr w:type="spellEnd"/>
            <w:r w:rsidRPr="00267786">
              <w:rPr>
                <w:b/>
                <w:bCs/>
              </w:rPr>
              <w:t>.: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11 809,05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11 616,76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-192,29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3.1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Затраты для сторонних потребителей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4 096,76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rPr>
                <w:b/>
                <w:bCs/>
              </w:rPr>
            </w:pPr>
            <w:r w:rsidRPr="00267786">
              <w:rPr>
                <w:b/>
                <w:bCs/>
              </w:rPr>
              <w:t xml:space="preserve">Прибыль, в </w:t>
            </w:r>
            <w:proofErr w:type="spellStart"/>
            <w:r w:rsidRPr="00267786">
              <w:rPr>
                <w:b/>
                <w:bCs/>
              </w:rPr>
              <w:t>т.ч</w:t>
            </w:r>
            <w:proofErr w:type="spellEnd"/>
            <w:r w:rsidRPr="00267786">
              <w:rPr>
                <w:b/>
                <w:bCs/>
              </w:rPr>
              <w:t>.: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1 180,91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4.1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Прибыль для сторонних потребителей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409,68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Прибыль принята на уровне заявленной рентабельности на 2020 года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rPr>
                <w:b/>
                <w:bCs/>
              </w:rPr>
            </w:pPr>
            <w:r w:rsidRPr="00267786">
              <w:rPr>
                <w:b/>
                <w:bCs/>
              </w:rPr>
              <w:t xml:space="preserve">Рентабельность, в </w:t>
            </w:r>
            <w:proofErr w:type="spellStart"/>
            <w:r w:rsidRPr="00267786">
              <w:rPr>
                <w:b/>
                <w:bCs/>
              </w:rPr>
              <w:t>т.ч</w:t>
            </w:r>
            <w:proofErr w:type="spellEnd"/>
            <w:r w:rsidRPr="00267786">
              <w:rPr>
                <w:b/>
                <w:bCs/>
              </w:rPr>
              <w:t>.: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%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10%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5.1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Рентабельность для сторонних потребителей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%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10%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10%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rPr>
                <w:b/>
                <w:bCs/>
              </w:rPr>
            </w:pPr>
            <w:r w:rsidRPr="00267786">
              <w:rPr>
                <w:b/>
                <w:bCs/>
              </w:rPr>
              <w:t xml:space="preserve">Доход от услуги, в </w:t>
            </w:r>
            <w:proofErr w:type="spellStart"/>
            <w:r w:rsidRPr="00267786">
              <w:rPr>
                <w:b/>
                <w:bCs/>
              </w:rPr>
              <w:t>т.ч</w:t>
            </w:r>
            <w:proofErr w:type="spellEnd"/>
            <w:r w:rsidRPr="00267786">
              <w:rPr>
                <w:b/>
                <w:bCs/>
              </w:rPr>
              <w:t>.: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12 989,96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6.1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Доход от сторонних потребителей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11 056,28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4 506,43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6.2.1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ООО "</w:t>
            </w:r>
            <w:proofErr w:type="spellStart"/>
            <w:r w:rsidRPr="00267786">
              <w:t>Полипласт</w:t>
            </w:r>
            <w:proofErr w:type="spellEnd"/>
            <w:r w:rsidRPr="00267786">
              <w:t xml:space="preserve"> Северо-запад"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3 791,63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6.2.2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ООО "</w:t>
            </w:r>
            <w:proofErr w:type="spellStart"/>
            <w:r w:rsidRPr="00267786">
              <w:t>Алпаннефть</w:t>
            </w:r>
            <w:proofErr w:type="spellEnd"/>
            <w:r w:rsidRPr="00267786">
              <w:t>-Ресурс"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4 025,03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6.2.3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ООО "</w:t>
            </w:r>
            <w:proofErr w:type="spellStart"/>
            <w:r w:rsidRPr="00267786">
              <w:t>СтройМонтаж</w:t>
            </w:r>
            <w:proofErr w:type="spellEnd"/>
            <w:r w:rsidRPr="00267786">
              <w:t>"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6.2.4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ООО "Кинг-Трак"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6.2.5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ООО "</w:t>
            </w:r>
            <w:proofErr w:type="spellStart"/>
            <w:r w:rsidRPr="00267786">
              <w:t>Аллникон</w:t>
            </w:r>
            <w:proofErr w:type="spellEnd"/>
            <w:r w:rsidRPr="00267786">
              <w:t>"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6.2.6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ООО "БЕЛХИМПРОМ"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3 239,62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 xml:space="preserve">Объем вагонооборота, в </w:t>
            </w:r>
            <w:proofErr w:type="spellStart"/>
            <w:r w:rsidRPr="00267786">
              <w:t>т.ч</w:t>
            </w:r>
            <w:proofErr w:type="spellEnd"/>
            <w:r w:rsidRPr="00267786">
              <w:t>.: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вагон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4 588,00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4 588,00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7.1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Объем вагонооборота сторонних потребителей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вагон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1 618,00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1 618,00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7786" w:rsidRPr="00267786" w:rsidRDefault="00267786" w:rsidP="00267786">
            <w:pPr>
              <w:jc w:val="center"/>
            </w:pPr>
            <w:r w:rsidRPr="00267786">
              <w:t>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rPr>
                <w:b/>
                <w:bCs/>
              </w:rPr>
            </w:pPr>
            <w:r w:rsidRPr="00267786">
              <w:rPr>
                <w:b/>
                <w:bCs/>
              </w:rPr>
              <w:t>Тариф за 1 вагон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2 831,29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2 785,10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</w:rPr>
            </w:pPr>
            <w:r w:rsidRPr="00267786">
              <w:rPr>
                <w:b/>
              </w:rPr>
              <w:t>-46,19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</w:tbl>
    <w:p w:rsidR="00267786" w:rsidRPr="00267786" w:rsidRDefault="00267786" w:rsidP="00267786">
      <w:pPr>
        <w:rPr>
          <w:sz w:val="24"/>
          <w:szCs w:val="24"/>
        </w:rPr>
      </w:pPr>
    </w:p>
    <w:p w:rsidR="00267786" w:rsidRDefault="00267786" w:rsidP="00267786">
      <w:pPr>
        <w:pStyle w:val="a5"/>
        <w:numPr>
          <w:ilvl w:val="1"/>
          <w:numId w:val="3"/>
        </w:numPr>
        <w:jc w:val="center"/>
        <w:rPr>
          <w:sz w:val="24"/>
          <w:szCs w:val="24"/>
        </w:rPr>
      </w:pPr>
      <w:r w:rsidRPr="00267786">
        <w:rPr>
          <w:sz w:val="24"/>
          <w:szCs w:val="24"/>
        </w:rPr>
        <w:t>Предельный тариф за маневровую работу локомотива,  не совмещенную во времени с подачей и уборкой вагонов, оказываемую</w:t>
      </w:r>
      <w:r w:rsidRPr="00267786">
        <w:t xml:space="preserve"> </w:t>
      </w:r>
      <w:r w:rsidRPr="00267786">
        <w:rPr>
          <w:sz w:val="24"/>
          <w:szCs w:val="24"/>
        </w:rPr>
        <w:t>на подъездных железнодорожных путях необщего пользования ООО «</w:t>
      </w:r>
      <w:proofErr w:type="spellStart"/>
      <w:r w:rsidRPr="00267786">
        <w:rPr>
          <w:sz w:val="24"/>
          <w:szCs w:val="24"/>
        </w:rPr>
        <w:t>Кингисеппский</w:t>
      </w:r>
      <w:proofErr w:type="spellEnd"/>
      <w:r w:rsidRPr="00267786">
        <w:rPr>
          <w:sz w:val="24"/>
          <w:szCs w:val="24"/>
        </w:rPr>
        <w:t xml:space="preserve"> стекольный завод»</w:t>
      </w:r>
    </w:p>
    <w:p w:rsidR="00D31231" w:rsidRPr="00267786" w:rsidRDefault="00D31231" w:rsidP="00D31231">
      <w:pPr>
        <w:pStyle w:val="a5"/>
        <w:ind w:left="1287"/>
        <w:rPr>
          <w:sz w:val="24"/>
          <w:szCs w:val="24"/>
        </w:rPr>
      </w:pPr>
    </w:p>
    <w:tbl>
      <w:tblPr>
        <w:tblW w:w="10348" w:type="dxa"/>
        <w:tblInd w:w="-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56"/>
        <w:gridCol w:w="2499"/>
        <w:gridCol w:w="689"/>
        <w:gridCol w:w="1401"/>
        <w:gridCol w:w="1213"/>
        <w:gridCol w:w="1197"/>
        <w:gridCol w:w="2693"/>
      </w:tblGrid>
      <w:tr w:rsidR="00267786" w:rsidRPr="00267786" w:rsidTr="00267786">
        <w:trPr>
          <w:trHeight w:val="367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</w:rPr>
            </w:pPr>
            <w:r w:rsidRPr="00267786">
              <w:rPr>
                <w:bCs/>
              </w:rPr>
              <w:t xml:space="preserve">№ </w:t>
            </w:r>
            <w:proofErr w:type="gramStart"/>
            <w:r w:rsidRPr="00267786">
              <w:rPr>
                <w:bCs/>
              </w:rPr>
              <w:t>п</w:t>
            </w:r>
            <w:proofErr w:type="gramEnd"/>
            <w:r w:rsidRPr="00267786">
              <w:rPr>
                <w:bCs/>
              </w:rPr>
              <w:t>/п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</w:rPr>
            </w:pPr>
            <w:r w:rsidRPr="00267786">
              <w:rPr>
                <w:bCs/>
              </w:rPr>
              <w:t>Статьи затрат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</w:rPr>
            </w:pPr>
            <w:r w:rsidRPr="00267786">
              <w:t>Ед. изм.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План на 2020 год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</w:pPr>
            <w:proofErr w:type="spellStart"/>
            <w:proofErr w:type="gramStart"/>
            <w:r w:rsidRPr="00267786">
              <w:t>Отклоне-ние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Причины отклонений</w:t>
            </w:r>
          </w:p>
        </w:tc>
      </w:tr>
      <w:tr w:rsidR="00267786" w:rsidRPr="00267786" w:rsidTr="00267786">
        <w:trPr>
          <w:trHeight w:val="691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786" w:rsidRPr="00267786" w:rsidRDefault="00267786" w:rsidP="00267786">
            <w:pPr>
              <w:jc w:val="center"/>
              <w:rPr>
                <w:color w:val="FF0000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786" w:rsidRPr="00267786" w:rsidRDefault="00267786" w:rsidP="00267786">
            <w:pPr>
              <w:jc w:val="center"/>
              <w:rPr>
                <w:color w:val="FF0000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786" w:rsidRPr="00267786" w:rsidRDefault="00267786" w:rsidP="00267786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</w:rPr>
            </w:pPr>
            <w:r w:rsidRPr="00267786">
              <w:rPr>
                <w:bCs/>
              </w:rPr>
              <w:t>по данным</w:t>
            </w:r>
          </w:p>
          <w:p w:rsidR="00267786" w:rsidRPr="00267786" w:rsidRDefault="00267786" w:rsidP="00267786">
            <w:pPr>
              <w:jc w:val="center"/>
              <w:rPr>
                <w:bCs/>
              </w:rPr>
            </w:pPr>
            <w:r w:rsidRPr="00267786">
              <w:rPr>
                <w:bCs/>
              </w:rPr>
              <w:t>предприятия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</w:rPr>
            </w:pPr>
            <w:r w:rsidRPr="00267786">
              <w:rPr>
                <w:bCs/>
              </w:rPr>
              <w:t>по данным ЛенРТК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786" w:rsidRPr="00267786" w:rsidRDefault="00267786" w:rsidP="00267786">
            <w:pPr>
              <w:jc w:val="center"/>
              <w:rPr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786" w:rsidRPr="00267786" w:rsidRDefault="00267786" w:rsidP="00267786">
            <w:pPr>
              <w:jc w:val="center"/>
              <w:rPr>
                <w:bCs/>
                <w:color w:val="FF0000"/>
              </w:rPr>
            </w:pPr>
          </w:p>
        </w:tc>
      </w:tr>
      <w:tr w:rsidR="00267786" w:rsidRPr="00267786" w:rsidTr="00267786">
        <w:trPr>
          <w:trHeight w:val="2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  <w:i/>
              </w:rPr>
            </w:pPr>
            <w:r w:rsidRPr="00267786">
              <w:rPr>
                <w:bCs/>
                <w:i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  <w:i/>
              </w:rPr>
            </w:pPr>
            <w:r w:rsidRPr="00267786">
              <w:rPr>
                <w:bCs/>
                <w:i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  <w:i/>
              </w:rPr>
            </w:pPr>
            <w:r w:rsidRPr="00267786">
              <w:rPr>
                <w:bCs/>
                <w:i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  <w:i/>
              </w:rPr>
            </w:pPr>
            <w:r w:rsidRPr="00267786">
              <w:rPr>
                <w:bCs/>
                <w:i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  <w:i/>
              </w:rPr>
            </w:pPr>
            <w:r w:rsidRPr="00267786">
              <w:rPr>
                <w:bCs/>
                <w:i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  <w:i/>
              </w:rPr>
            </w:pPr>
            <w:r w:rsidRPr="00267786">
              <w:rPr>
                <w:bCs/>
                <w:i/>
              </w:rPr>
              <w:t>7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rPr>
                <w:b/>
                <w:bCs/>
              </w:rPr>
            </w:pPr>
            <w:r w:rsidRPr="00267786">
              <w:rPr>
                <w:b/>
                <w:bCs/>
              </w:rPr>
              <w:t xml:space="preserve">Прямые расходы, в </w:t>
            </w:r>
            <w:proofErr w:type="spellStart"/>
            <w:r w:rsidRPr="00267786">
              <w:rPr>
                <w:b/>
                <w:bCs/>
              </w:rPr>
              <w:t>т.ч</w:t>
            </w:r>
            <w:proofErr w:type="spellEnd"/>
            <w:r w:rsidRPr="00267786">
              <w:rPr>
                <w:b/>
                <w:bCs/>
              </w:rPr>
              <w:t>.: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  <w:color w:val="000000"/>
              </w:rPr>
            </w:pPr>
            <w:r w:rsidRPr="00267786">
              <w:rPr>
                <w:b/>
                <w:bCs/>
                <w:color w:val="000000"/>
              </w:rPr>
              <w:t>10 363,16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  <w:color w:val="000000"/>
              </w:rPr>
            </w:pPr>
            <w:r w:rsidRPr="00267786">
              <w:rPr>
                <w:b/>
                <w:bCs/>
                <w:color w:val="000000"/>
              </w:rPr>
              <w:t>7 606,55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-4 729,53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1.1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rPr>
                <w:color w:val="000000"/>
              </w:rPr>
            </w:pPr>
            <w:r w:rsidRPr="00267786">
              <w:rPr>
                <w:color w:val="000000"/>
              </w:rPr>
              <w:t>Материалы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251,53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Cs/>
              </w:rPr>
            </w:pPr>
            <w:r w:rsidRPr="00267786">
              <w:rPr>
                <w:bCs/>
              </w:rPr>
              <w:t>251,53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Затраты приняты на заявленном уровне, с учетом распределения пропорционально доле выручки (47,35%)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lastRenderedPageBreak/>
              <w:t>1.2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Дизтопливо и смазочные материалы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1.3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Оплата труда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2 308,55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1 271,36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-1 037,19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Корректировка произведена с учетом ожидаемого результата 2019 года и  ИПЦ на 2020 год, с учетом распределения затрат пропорционально доле выручки (47,35%)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1.4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Отчисления на социальные нужды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699,49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397,94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-301,55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31,3% от заработной платы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1.5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Амортизационные отчисления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D312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2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1.6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Арендная плата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7 355,12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3 712,80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-3 642,32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Затраты приняты на заявленном уровне, с учетом распределения пропорционально доле выручки (47,35%)</w:t>
            </w:r>
          </w:p>
        </w:tc>
      </w:tr>
      <w:tr w:rsidR="00267786" w:rsidRPr="00267786" w:rsidTr="00D312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35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1.7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Ремонт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1 972,92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Затраты приняты на заявленном уровне, с учетом распределения пропорционально доле выручки (47,35%)</w:t>
            </w:r>
          </w:p>
        </w:tc>
      </w:tr>
      <w:tr w:rsidR="00267786" w:rsidRPr="00267786" w:rsidTr="00D312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rPr>
                <w:b/>
                <w:bCs/>
              </w:rPr>
            </w:pPr>
            <w:r w:rsidRPr="00267786">
              <w:rPr>
                <w:b/>
                <w:bCs/>
              </w:rPr>
              <w:t xml:space="preserve">Накладные </w:t>
            </w:r>
            <w:proofErr w:type="gramStart"/>
            <w:r w:rsidRPr="00267786">
              <w:rPr>
                <w:b/>
                <w:bCs/>
              </w:rPr>
              <w:t>расходы-всего</w:t>
            </w:r>
            <w:proofErr w:type="gramEnd"/>
            <w:r w:rsidRPr="00267786">
              <w:rPr>
                <w:b/>
                <w:bCs/>
              </w:rPr>
              <w:t xml:space="preserve">, в </w:t>
            </w:r>
            <w:proofErr w:type="spellStart"/>
            <w:r w:rsidRPr="00267786">
              <w:rPr>
                <w:b/>
                <w:bCs/>
              </w:rPr>
              <w:t>т.ч</w:t>
            </w:r>
            <w:proofErr w:type="spellEnd"/>
            <w:r w:rsidRPr="00267786">
              <w:rPr>
                <w:b/>
                <w:bCs/>
              </w:rPr>
              <w:t>.: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  <w:color w:val="000000"/>
              </w:rPr>
            </w:pPr>
            <w:r w:rsidRPr="00267786">
              <w:rPr>
                <w:b/>
                <w:bCs/>
                <w:color w:val="000000"/>
              </w:rPr>
              <w:t>268,06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  <w:color w:val="000000"/>
              </w:rPr>
            </w:pPr>
            <w:r w:rsidRPr="00267786">
              <w:rPr>
                <w:b/>
                <w:bCs/>
                <w:color w:val="000000"/>
              </w:rPr>
              <w:t>1 906,67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1 638,61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D312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4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2.1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Общепроизводственные  расходы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105,36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1 743,99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1 638,63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 xml:space="preserve">Корректировка произведена за счет исключения затрат на аренду тепловоза, учтенных в статье «Аренда», уменьшения затрат за пропуск вагонов по железнодорожным путям ООО "ПГ "Фосфорит", </w:t>
            </w:r>
            <w:proofErr w:type="spellStart"/>
            <w:r w:rsidRPr="00267786">
              <w:t>учтеных</w:t>
            </w:r>
            <w:proofErr w:type="spellEnd"/>
            <w:r w:rsidRPr="00267786">
              <w:t xml:space="preserve"> в расчете тарифа за подачу и уборку вагонов и исходя из распределения заявленных затрат пропорционально доле выручки (47,35%)</w:t>
            </w:r>
          </w:p>
        </w:tc>
      </w:tr>
      <w:tr w:rsidR="00267786" w:rsidRPr="00267786" w:rsidTr="00D312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88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2.2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Общехозяйственные расходы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162,70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162,68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-0,02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Корректировка произведена с учетом ожидаемого результата 2019 года и  ИЦП на 2020 год, с учетом распределения затрат пропорционально доле выручки (47,35%)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rPr>
                <w:b/>
                <w:bCs/>
              </w:rPr>
            </w:pPr>
            <w:r w:rsidRPr="00267786">
              <w:rPr>
                <w:b/>
                <w:bCs/>
              </w:rPr>
              <w:t>Итого затраты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  <w:color w:val="000000"/>
              </w:rPr>
            </w:pPr>
            <w:r w:rsidRPr="00267786">
              <w:rPr>
                <w:b/>
                <w:bCs/>
                <w:color w:val="000000"/>
              </w:rPr>
              <w:t>10 631,22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  <w:color w:val="000000"/>
              </w:rPr>
            </w:pPr>
            <w:r w:rsidRPr="00267786">
              <w:rPr>
                <w:b/>
                <w:bCs/>
                <w:color w:val="000000"/>
              </w:rPr>
              <w:t>9 513,22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-1 118,00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D312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67786" w:rsidRPr="00267786" w:rsidRDefault="00267786" w:rsidP="00267786">
            <w:pPr>
              <w:jc w:val="center"/>
            </w:pPr>
            <w:r w:rsidRPr="00267786">
              <w:t>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Прибыль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1 063,12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951,32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-111,80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Прибыль принята на уровне заявленной рентабельности на 2020 года</w:t>
            </w:r>
          </w:p>
        </w:tc>
      </w:tr>
      <w:tr w:rsidR="00267786" w:rsidRPr="00267786" w:rsidTr="00267786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Рентабельность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%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10%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10%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D312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rPr>
                <w:b/>
                <w:bCs/>
              </w:rPr>
            </w:pPr>
            <w:r w:rsidRPr="00267786">
              <w:rPr>
                <w:b/>
                <w:bCs/>
              </w:rPr>
              <w:t xml:space="preserve">Доход, в </w:t>
            </w:r>
            <w:proofErr w:type="spellStart"/>
            <w:r w:rsidRPr="00267786">
              <w:rPr>
                <w:b/>
                <w:bCs/>
              </w:rPr>
              <w:t>т.ч</w:t>
            </w:r>
            <w:proofErr w:type="spellEnd"/>
            <w:r w:rsidRPr="00267786">
              <w:rPr>
                <w:b/>
                <w:bCs/>
              </w:rPr>
              <w:t>.: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  <w:color w:val="000000"/>
              </w:rPr>
            </w:pPr>
            <w:r w:rsidRPr="00267786">
              <w:rPr>
                <w:b/>
                <w:bCs/>
                <w:color w:val="000000"/>
              </w:rPr>
              <w:t>11 649,34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10 464,54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-1 184,80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D312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lastRenderedPageBreak/>
              <w:t>6.1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Доход от сторонних потребителей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  <w:color w:val="000000"/>
              </w:rPr>
            </w:pPr>
            <w:r w:rsidRPr="00267786">
              <w:rPr>
                <w:b/>
                <w:bCs/>
                <w:color w:val="000000"/>
              </w:rPr>
              <w:t>4 124,11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  <w:color w:val="000000"/>
              </w:rPr>
            </w:pPr>
            <w:r w:rsidRPr="00267786">
              <w:rPr>
                <w:b/>
                <w:bCs/>
                <w:color w:val="000000"/>
              </w:rPr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D312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6.1.2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ООО "</w:t>
            </w:r>
            <w:proofErr w:type="spellStart"/>
            <w:r w:rsidRPr="00267786">
              <w:t>Полипласт</w:t>
            </w:r>
            <w:proofErr w:type="spellEnd"/>
            <w:r w:rsidRPr="00267786">
              <w:t xml:space="preserve"> Северо-запад"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1 656,78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D312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3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6.1.3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ООО "</w:t>
            </w:r>
            <w:proofErr w:type="spellStart"/>
            <w:r w:rsidRPr="00267786">
              <w:t>Алпаннефть</w:t>
            </w:r>
            <w:proofErr w:type="spellEnd"/>
            <w:r w:rsidRPr="00267786">
              <w:t>-Ресурс"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2 039,12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</w:p>
        </w:tc>
      </w:tr>
      <w:tr w:rsidR="00267786" w:rsidRPr="00267786" w:rsidTr="00D312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6.1.4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ООО "</w:t>
            </w:r>
            <w:proofErr w:type="spellStart"/>
            <w:r w:rsidRPr="00267786">
              <w:t>СтройМонтаж</w:t>
            </w:r>
            <w:proofErr w:type="spellEnd"/>
            <w:r w:rsidRPr="00267786">
              <w:t>"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D312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6.1.5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ООО "Кинг-Трак"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D312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6.1.6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ООО "</w:t>
            </w:r>
            <w:proofErr w:type="spellStart"/>
            <w:r w:rsidRPr="00267786">
              <w:t>Аллникон</w:t>
            </w:r>
            <w:proofErr w:type="spellEnd"/>
            <w:r w:rsidRPr="00267786">
              <w:t>"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-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D312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6.1.7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>ООО "БЕЛХИМПРОМ"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тыс. 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428,21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  <w:tr w:rsidR="00267786" w:rsidRPr="00267786" w:rsidTr="00D312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7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r w:rsidRPr="00267786">
              <w:t xml:space="preserve">Объем </w:t>
            </w:r>
            <w:proofErr w:type="spellStart"/>
            <w:r w:rsidRPr="00267786">
              <w:t>локомотиво</w:t>
            </w:r>
            <w:proofErr w:type="spellEnd"/>
            <w:r w:rsidRPr="00267786">
              <w:t>-часов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 xml:space="preserve">тыс. </w:t>
            </w:r>
            <w:proofErr w:type="spellStart"/>
            <w:r w:rsidRPr="00267786">
              <w:t>лок</w:t>
            </w:r>
            <w:proofErr w:type="spellEnd"/>
            <w:proofErr w:type="gramStart"/>
            <w:r w:rsidRPr="00267786">
              <w:t>.-</w:t>
            </w:r>
            <w:proofErr w:type="gramEnd"/>
            <w:r w:rsidRPr="00267786">
              <w:t>час.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color w:val="000000"/>
              </w:rPr>
            </w:pPr>
            <w:r w:rsidRPr="00267786">
              <w:rPr>
                <w:color w:val="000000"/>
              </w:rPr>
              <w:t>1,64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2,61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0,97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Объем принят на уровне ожидаемого результата 2019 года</w:t>
            </w:r>
          </w:p>
        </w:tc>
      </w:tr>
      <w:tr w:rsidR="00267786" w:rsidRPr="00267786" w:rsidTr="00D3123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7786" w:rsidRPr="00267786" w:rsidRDefault="00267786" w:rsidP="00267786">
            <w:pPr>
              <w:jc w:val="center"/>
            </w:pPr>
            <w:r w:rsidRPr="00267786">
              <w:t>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rPr>
                <w:b/>
                <w:bCs/>
              </w:rPr>
            </w:pPr>
            <w:r w:rsidRPr="00267786">
              <w:rPr>
                <w:b/>
                <w:bCs/>
              </w:rPr>
              <w:t>Тариф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руб.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  <w:color w:val="000000"/>
              </w:rPr>
            </w:pPr>
            <w:r w:rsidRPr="00267786">
              <w:rPr>
                <w:b/>
                <w:bCs/>
                <w:color w:val="000000"/>
              </w:rPr>
              <w:t>7 103,26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  <w:color w:val="000000"/>
              </w:rPr>
            </w:pPr>
            <w:r w:rsidRPr="00267786">
              <w:rPr>
                <w:b/>
                <w:bCs/>
                <w:color w:val="000000"/>
              </w:rPr>
              <w:t>4 009,40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  <w:rPr>
                <w:b/>
                <w:bCs/>
              </w:rPr>
            </w:pPr>
            <w:r w:rsidRPr="00267786">
              <w:rPr>
                <w:b/>
                <w:bCs/>
              </w:rPr>
              <w:t>-3 093,85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7786" w:rsidRPr="00267786" w:rsidRDefault="00267786" w:rsidP="00267786">
            <w:pPr>
              <w:jc w:val="center"/>
            </w:pPr>
            <w:r w:rsidRPr="00267786">
              <w:t>-</w:t>
            </w:r>
          </w:p>
        </w:tc>
      </w:tr>
    </w:tbl>
    <w:p w:rsidR="00267786" w:rsidRPr="00267786" w:rsidRDefault="00267786" w:rsidP="002677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67786" w:rsidRPr="00267786" w:rsidRDefault="00267786" w:rsidP="002677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67786">
        <w:rPr>
          <w:rFonts w:eastAsia="Calibri"/>
          <w:sz w:val="24"/>
          <w:szCs w:val="24"/>
          <w:lang w:eastAsia="en-US"/>
        </w:rPr>
        <w:t>2. Установить предельные тарифы на транспортные услуги, оказываемые на подъездных железнодорожных путях необщего пользования обществом с  ограниченной ответственностью   «</w:t>
      </w:r>
      <w:proofErr w:type="spellStart"/>
      <w:r w:rsidRPr="00267786">
        <w:rPr>
          <w:rFonts w:eastAsia="Calibri"/>
          <w:sz w:val="24"/>
          <w:szCs w:val="24"/>
          <w:lang w:eastAsia="en-US"/>
        </w:rPr>
        <w:t>Кингисепп</w:t>
      </w:r>
      <w:r w:rsidR="0015444E">
        <w:rPr>
          <w:rFonts w:eastAsia="Calibri"/>
          <w:sz w:val="24"/>
          <w:szCs w:val="24"/>
          <w:lang w:eastAsia="en-US"/>
        </w:rPr>
        <w:t>с</w:t>
      </w:r>
      <w:r w:rsidRPr="00267786">
        <w:rPr>
          <w:rFonts w:eastAsia="Calibri"/>
          <w:sz w:val="24"/>
          <w:szCs w:val="24"/>
          <w:lang w:eastAsia="en-US"/>
        </w:rPr>
        <w:t>кий</w:t>
      </w:r>
      <w:proofErr w:type="spellEnd"/>
      <w:r w:rsidRPr="00267786">
        <w:rPr>
          <w:rFonts w:eastAsia="Calibri"/>
          <w:sz w:val="24"/>
          <w:szCs w:val="24"/>
          <w:lang w:eastAsia="en-US"/>
        </w:rPr>
        <w:t xml:space="preserve"> стекольный завод» на территории Ленинградской области, на 2020 год:</w:t>
      </w:r>
    </w:p>
    <w:p w:rsidR="00267786" w:rsidRPr="00267786" w:rsidRDefault="00267786" w:rsidP="002677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67786">
        <w:rPr>
          <w:rFonts w:eastAsia="Calibri"/>
          <w:bCs/>
          <w:sz w:val="24"/>
          <w:szCs w:val="24"/>
          <w:lang w:eastAsia="en-US"/>
        </w:rPr>
        <w:t>- - тариф на услуги по подаче и уборке вагонов в размере 2 785,10 рублей за 1 вагон (без учета налога на добавленную стоимость);</w:t>
      </w:r>
    </w:p>
    <w:p w:rsidR="00267786" w:rsidRPr="00267786" w:rsidRDefault="00267786" w:rsidP="002677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67786">
        <w:rPr>
          <w:rFonts w:eastAsia="Calibri"/>
          <w:bCs/>
          <w:sz w:val="24"/>
          <w:szCs w:val="24"/>
          <w:lang w:eastAsia="en-US"/>
        </w:rPr>
        <w:t xml:space="preserve">- тариф за маневровую работу локомотива, не совмещенную во времени с подачей и уборкой вагонов, в размере 4 009,40 рублей за 1 </w:t>
      </w:r>
      <w:proofErr w:type="spellStart"/>
      <w:r w:rsidRPr="00267786">
        <w:rPr>
          <w:rFonts w:eastAsia="Calibri"/>
          <w:bCs/>
          <w:sz w:val="24"/>
          <w:szCs w:val="24"/>
          <w:lang w:eastAsia="en-US"/>
        </w:rPr>
        <w:t>локомотиво</w:t>
      </w:r>
      <w:proofErr w:type="spellEnd"/>
      <w:r w:rsidRPr="00267786">
        <w:rPr>
          <w:rFonts w:eastAsia="Calibri"/>
          <w:bCs/>
          <w:sz w:val="24"/>
          <w:szCs w:val="24"/>
          <w:lang w:eastAsia="en-US"/>
        </w:rPr>
        <w:t>-час (без налога на добавленную стоимость).</w:t>
      </w:r>
    </w:p>
    <w:p w:rsidR="00267786" w:rsidRPr="00267786" w:rsidRDefault="00267786" w:rsidP="0026778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267786" w:rsidRPr="00267786" w:rsidRDefault="00267786" w:rsidP="0026778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67786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267786" w:rsidRPr="00267786" w:rsidRDefault="00267786" w:rsidP="00267786">
      <w:pPr>
        <w:keepLines/>
        <w:tabs>
          <w:tab w:val="left" w:pos="-142"/>
          <w:tab w:val="left" w:pos="567"/>
        </w:tabs>
        <w:spacing w:line="240" w:lineRule="atLeast"/>
        <w:ind w:right="-1"/>
        <w:jc w:val="both"/>
        <w:rPr>
          <w:i/>
          <w:sz w:val="28"/>
        </w:rPr>
      </w:pPr>
    </w:p>
    <w:p w:rsidR="00D31231" w:rsidRPr="00D31231" w:rsidRDefault="00267786" w:rsidP="00D31231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 w:rsidRPr="00267786">
        <w:rPr>
          <w:b/>
          <w:sz w:val="24"/>
          <w:szCs w:val="24"/>
        </w:rPr>
        <w:t>По вопросу повестки «О внесении изменений в приказ комитета по тарифам и ценовой политике Ленинградской области от 20 декабря 2018 года № 553-п «Об установлении долгосрочных параметров регулирования деятельности, тарифов на тепловую энергию на коллекторах источника тепловой энергии и теплоноситель, поставляемые публичным акционерным обществом «Вторая генерирующая компания оптового рынка электрической энергии» (филиал «</w:t>
      </w:r>
      <w:proofErr w:type="spellStart"/>
      <w:r w:rsidRPr="00267786">
        <w:rPr>
          <w:b/>
          <w:sz w:val="24"/>
          <w:szCs w:val="24"/>
        </w:rPr>
        <w:t>Киришская</w:t>
      </w:r>
      <w:proofErr w:type="spellEnd"/>
      <w:r w:rsidRPr="00267786">
        <w:rPr>
          <w:b/>
          <w:sz w:val="24"/>
          <w:szCs w:val="24"/>
        </w:rPr>
        <w:t xml:space="preserve"> ГРЭС») потребителям на территории Ленинградской области, на долгосрочный</w:t>
      </w:r>
      <w:proofErr w:type="gramEnd"/>
      <w:r w:rsidRPr="00267786">
        <w:rPr>
          <w:b/>
          <w:sz w:val="24"/>
          <w:szCs w:val="24"/>
        </w:rPr>
        <w:t xml:space="preserve"> период регулирования 2019-2023 годов» </w:t>
      </w:r>
      <w:r w:rsidR="00D31231" w:rsidRPr="00D31231">
        <w:rPr>
          <w:sz w:val="24"/>
          <w:szCs w:val="24"/>
        </w:rPr>
        <w:t xml:space="preserve">выступила начальник отдела регулирования тарифов (цен) в сфере </w:t>
      </w:r>
      <w:proofErr w:type="gramStart"/>
      <w:r w:rsidR="00D31231" w:rsidRPr="00D31231">
        <w:rPr>
          <w:sz w:val="24"/>
          <w:szCs w:val="24"/>
        </w:rPr>
        <w:t>теплоснабжения департамента регулирования тарифов организаций коммунального комплекса</w:t>
      </w:r>
      <w:proofErr w:type="gramEnd"/>
      <w:r w:rsidR="00D31231" w:rsidRPr="00D31231">
        <w:rPr>
          <w:sz w:val="24"/>
          <w:szCs w:val="24"/>
        </w:rPr>
        <w:t xml:space="preserve"> и электрической энергии комитета Курылко С.А.:</w:t>
      </w:r>
    </w:p>
    <w:p w:rsidR="00D31231" w:rsidRPr="00D31231" w:rsidRDefault="00D31231" w:rsidP="00D31231">
      <w:pPr>
        <w:tabs>
          <w:tab w:val="left" w:pos="567"/>
          <w:tab w:val="left" w:pos="709"/>
        </w:tabs>
        <w:ind w:firstLine="567"/>
        <w:jc w:val="both"/>
        <w:rPr>
          <w:b/>
          <w:sz w:val="26"/>
          <w:szCs w:val="26"/>
        </w:rPr>
      </w:pPr>
      <w:proofErr w:type="gramStart"/>
      <w:r w:rsidRPr="00D31231">
        <w:rPr>
          <w:sz w:val="24"/>
          <w:szCs w:val="24"/>
        </w:rPr>
        <w:t>- изложила основные положения экспертного заключения по обоснованию корректировки в соответствии с предписанием ФАС России от 21.12.2018 № СП/105260/18, письмом № СП/8303/20 от 06.02.2020 необходимой валовой выручки 2019 года и ее учет в тарифах на тепловую энергию с коллекторов ПАО «ОГК-2» (филиал «</w:t>
      </w:r>
      <w:proofErr w:type="spellStart"/>
      <w:r w:rsidRPr="00D31231">
        <w:rPr>
          <w:sz w:val="24"/>
          <w:szCs w:val="24"/>
        </w:rPr>
        <w:t>Киришская</w:t>
      </w:r>
      <w:proofErr w:type="spellEnd"/>
      <w:r w:rsidRPr="00D31231">
        <w:rPr>
          <w:sz w:val="24"/>
          <w:szCs w:val="24"/>
        </w:rPr>
        <w:t xml:space="preserve"> ГРЭС») на территории Ленинградской области на период 2020 г.</w:t>
      </w:r>
      <w:r w:rsidRPr="00D31231">
        <w:rPr>
          <w:b/>
          <w:sz w:val="26"/>
          <w:szCs w:val="26"/>
        </w:rPr>
        <w:t xml:space="preserve"> </w:t>
      </w:r>
      <w:proofErr w:type="gramEnd"/>
    </w:p>
    <w:p w:rsidR="00D31231" w:rsidRPr="00D31231" w:rsidRDefault="00D31231" w:rsidP="00D31231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D31231">
        <w:rPr>
          <w:sz w:val="24"/>
          <w:szCs w:val="24"/>
        </w:rPr>
        <w:t xml:space="preserve">- сообщила о том, что ЛенРТК в адрес ФАС России было направлено письмо от 18.02.2020 исх. № КТ-13-606/2020 с просьбой о продлении срока исполнения предписания ФАС России от 21.12.2018 № СП/105260/18. На момент заседания Правления ЛенРТК ответ из ФАС России не поступал. </w:t>
      </w:r>
    </w:p>
    <w:p w:rsidR="00D31231" w:rsidRPr="00D31231" w:rsidRDefault="00D31231" w:rsidP="00D31231">
      <w:pPr>
        <w:ind w:firstLine="567"/>
        <w:jc w:val="both"/>
        <w:rPr>
          <w:sz w:val="24"/>
          <w:szCs w:val="24"/>
        </w:rPr>
      </w:pPr>
      <w:proofErr w:type="gramStart"/>
      <w:r w:rsidRPr="00D31231">
        <w:rPr>
          <w:sz w:val="24"/>
          <w:szCs w:val="24"/>
        </w:rPr>
        <w:t>Присутствующие на заседании Правления ЛенРТК представители ПАО «ОГК-2» (филиал «</w:t>
      </w:r>
      <w:proofErr w:type="spellStart"/>
      <w:r w:rsidRPr="00D31231">
        <w:rPr>
          <w:sz w:val="24"/>
          <w:szCs w:val="24"/>
        </w:rPr>
        <w:t>Киришская</w:t>
      </w:r>
      <w:proofErr w:type="spellEnd"/>
      <w:r w:rsidRPr="00D31231">
        <w:rPr>
          <w:sz w:val="24"/>
          <w:szCs w:val="24"/>
        </w:rPr>
        <w:t xml:space="preserve"> ГРЭС») Тищенко О.Ю. (по доверенности № 78 АБ 5959376 от 22.01.2019), Блохин В.В. (по доверенности № 78 АБ 5959375 от 22.01.2019), Богданова С.С. (по доверенности </w:t>
      </w:r>
      <w:r w:rsidRPr="00D31231">
        <w:rPr>
          <w:sz w:val="24"/>
          <w:szCs w:val="24"/>
        </w:rPr>
        <w:br/>
        <w:t>№ Д2203-20-4 от 26.02.2020) обратились к членам Правления ЛенРТК с ходатайством о переносе срока заседания Правления ЛенРТК.</w:t>
      </w:r>
      <w:proofErr w:type="gramEnd"/>
    </w:p>
    <w:p w:rsidR="00D31231" w:rsidRPr="00D31231" w:rsidRDefault="00D31231" w:rsidP="00D31231">
      <w:pPr>
        <w:ind w:firstLine="567"/>
        <w:jc w:val="both"/>
        <w:rPr>
          <w:sz w:val="24"/>
          <w:szCs w:val="24"/>
        </w:rPr>
      </w:pPr>
    </w:p>
    <w:p w:rsidR="00D31231" w:rsidRPr="00D31231" w:rsidRDefault="00D31231" w:rsidP="00D31231">
      <w:pPr>
        <w:ind w:left="-142" w:firstLine="567"/>
        <w:contextualSpacing/>
        <w:jc w:val="both"/>
        <w:rPr>
          <w:b/>
          <w:sz w:val="24"/>
          <w:szCs w:val="24"/>
        </w:rPr>
      </w:pPr>
      <w:r w:rsidRPr="00D31231">
        <w:rPr>
          <w:b/>
          <w:sz w:val="24"/>
          <w:szCs w:val="24"/>
        </w:rPr>
        <w:t xml:space="preserve">Правление приняло решение:  </w:t>
      </w:r>
    </w:p>
    <w:p w:rsidR="00D31231" w:rsidRPr="00D31231" w:rsidRDefault="00D31231" w:rsidP="00D31231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D31231" w:rsidRPr="00D31231" w:rsidRDefault="00D31231" w:rsidP="00D31231">
      <w:pPr>
        <w:ind w:left="-142" w:firstLine="567"/>
        <w:contextualSpacing/>
        <w:jc w:val="both"/>
        <w:rPr>
          <w:sz w:val="24"/>
          <w:szCs w:val="24"/>
        </w:rPr>
      </w:pPr>
      <w:r w:rsidRPr="00D31231">
        <w:rPr>
          <w:sz w:val="24"/>
          <w:szCs w:val="24"/>
        </w:rPr>
        <w:t>На основании вышеизложенного объявлен перерыв в заседании Правления ЛенРТК до 16.45 28.02.2020.</w:t>
      </w:r>
    </w:p>
    <w:p w:rsidR="00D31231" w:rsidRPr="00D31231" w:rsidRDefault="00D31231" w:rsidP="00D31231">
      <w:pPr>
        <w:ind w:left="-142" w:firstLine="567"/>
        <w:contextualSpacing/>
        <w:jc w:val="both"/>
        <w:rPr>
          <w:sz w:val="24"/>
          <w:szCs w:val="24"/>
        </w:rPr>
      </w:pPr>
    </w:p>
    <w:p w:rsidR="00D31231" w:rsidRPr="00D31231" w:rsidRDefault="00D31231" w:rsidP="00D31231">
      <w:pPr>
        <w:ind w:left="-142" w:right="-144" w:firstLine="142"/>
        <w:contextualSpacing/>
        <w:jc w:val="center"/>
        <w:rPr>
          <w:b/>
          <w:color w:val="FF0000"/>
          <w:sz w:val="24"/>
          <w:szCs w:val="24"/>
        </w:rPr>
      </w:pPr>
      <w:r w:rsidRPr="00D31231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D31231" w:rsidRPr="00267786" w:rsidRDefault="00D31231" w:rsidP="00D31231">
      <w:pPr>
        <w:tabs>
          <w:tab w:val="left" w:pos="567"/>
          <w:tab w:val="left" w:pos="709"/>
        </w:tabs>
        <w:ind w:firstLine="567"/>
        <w:jc w:val="both"/>
        <w:rPr>
          <w:b/>
          <w:color w:val="FF0000"/>
          <w:sz w:val="24"/>
          <w:szCs w:val="24"/>
        </w:rPr>
      </w:pPr>
    </w:p>
    <w:p w:rsidR="00267786" w:rsidRDefault="00267786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67786" w:rsidRDefault="00267786" w:rsidP="00267786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 xml:space="preserve">По вопросу повестки «Об </w:t>
      </w:r>
      <w:r>
        <w:rPr>
          <w:b/>
          <w:bCs/>
          <w:sz w:val="24"/>
          <w:szCs w:val="24"/>
        </w:rPr>
        <w:t xml:space="preserve">установлении </w:t>
      </w:r>
      <w:r>
        <w:rPr>
          <w:b/>
          <w:sz w:val="24"/>
          <w:szCs w:val="24"/>
        </w:rPr>
        <w:t xml:space="preserve">тарифов на подключение (технологическое присоединение) к централизованным системам холодного водоснабжения и водоотведения </w:t>
      </w:r>
      <w:proofErr w:type="spellStart"/>
      <w:r>
        <w:rPr>
          <w:b/>
          <w:sz w:val="24"/>
          <w:szCs w:val="24"/>
        </w:rPr>
        <w:t>Сосновоборского</w:t>
      </w:r>
      <w:proofErr w:type="spellEnd"/>
      <w:r>
        <w:rPr>
          <w:b/>
          <w:sz w:val="24"/>
          <w:szCs w:val="24"/>
        </w:rPr>
        <w:t xml:space="preserve"> муниципального унитарного предприятия «ВОДОКАНАЛ» объектов капитального строительства заявителей, расположенных на территории муниципального образования «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округ» Ленинградской области на 2020 год»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начальник отдела перспективного развития регулируемых организаций</w:t>
      </w:r>
      <w:r>
        <w:rPr>
          <w:b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комитета по тарифам </w:t>
      </w:r>
      <w:r>
        <w:rPr>
          <w:bCs/>
          <w:sz w:val="24"/>
          <w:szCs w:val="24"/>
        </w:rPr>
        <w:t>и ценовой политике</w:t>
      </w:r>
      <w:r>
        <w:rPr>
          <w:bCs/>
          <w:color w:val="000000"/>
          <w:sz w:val="24"/>
          <w:szCs w:val="24"/>
        </w:rPr>
        <w:t xml:space="preserve"> Ленинградской области Марков А.Е</w:t>
      </w:r>
      <w:r>
        <w:rPr>
          <w:sz w:val="24"/>
          <w:szCs w:val="24"/>
        </w:rPr>
        <w:t>. и изложил основные</w:t>
      </w:r>
      <w:proofErr w:type="gramEnd"/>
      <w:r>
        <w:rPr>
          <w:sz w:val="24"/>
          <w:szCs w:val="24"/>
        </w:rPr>
        <w:t xml:space="preserve"> положения </w:t>
      </w:r>
      <w:r>
        <w:rPr>
          <w:snapToGrid w:val="0"/>
          <w:sz w:val="24"/>
          <w:szCs w:val="24"/>
        </w:rPr>
        <w:t xml:space="preserve">заключения ЛенРТК по экономическому обоснованию размера тарифов на подключение (технологическое присоединение) к централизованным системам холодного водоснабжения и водоотведения </w:t>
      </w:r>
      <w:proofErr w:type="spellStart"/>
      <w:r>
        <w:rPr>
          <w:snapToGrid w:val="0"/>
          <w:sz w:val="24"/>
          <w:szCs w:val="24"/>
        </w:rPr>
        <w:t>Сосновоборского</w:t>
      </w:r>
      <w:proofErr w:type="spellEnd"/>
      <w:r>
        <w:rPr>
          <w:snapToGrid w:val="0"/>
          <w:sz w:val="24"/>
          <w:szCs w:val="24"/>
        </w:rPr>
        <w:t xml:space="preserve"> муниципального унитарного предприятия «ВОДОКАНАЛ» объектов капитального строительства заявителей, расположенных на территории муниципального образования «</w:t>
      </w:r>
      <w:proofErr w:type="spellStart"/>
      <w:r>
        <w:rPr>
          <w:snapToGrid w:val="0"/>
          <w:sz w:val="24"/>
          <w:szCs w:val="24"/>
        </w:rPr>
        <w:t>Сосновоборский</w:t>
      </w:r>
      <w:proofErr w:type="spellEnd"/>
      <w:r>
        <w:rPr>
          <w:snapToGrid w:val="0"/>
          <w:sz w:val="24"/>
          <w:szCs w:val="24"/>
        </w:rPr>
        <w:t xml:space="preserve"> городской округ» Ленинградской области на 2020 год, подготовленного на основании </w:t>
      </w:r>
      <w:r>
        <w:rPr>
          <w:sz w:val="24"/>
          <w:szCs w:val="24"/>
        </w:rPr>
        <w:t>обращения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от 30.01.2020 № КТ-1-559/2020)</w:t>
      </w:r>
      <w:r>
        <w:rPr>
          <w:bCs/>
          <w:color w:val="000000"/>
          <w:sz w:val="24"/>
          <w:szCs w:val="24"/>
        </w:rPr>
        <w:t>.</w:t>
      </w:r>
    </w:p>
    <w:p w:rsidR="00267786" w:rsidRDefault="00267786" w:rsidP="00267786">
      <w:pPr>
        <w:ind w:firstLine="567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В своем письме </w:t>
      </w:r>
      <w:r>
        <w:rPr>
          <w:snapToGrid w:val="0"/>
          <w:color w:val="000000"/>
          <w:sz w:val="24"/>
          <w:szCs w:val="24"/>
        </w:rPr>
        <w:t>от 27.02.2020 исх. № 324-ОЗ (</w:t>
      </w:r>
      <w:proofErr w:type="spellStart"/>
      <w:r>
        <w:rPr>
          <w:snapToGrid w:val="0"/>
          <w:color w:val="000000"/>
          <w:sz w:val="24"/>
          <w:szCs w:val="24"/>
        </w:rPr>
        <w:t>вх</w:t>
      </w:r>
      <w:proofErr w:type="spellEnd"/>
      <w:r>
        <w:rPr>
          <w:snapToGrid w:val="0"/>
          <w:color w:val="000000"/>
          <w:sz w:val="24"/>
          <w:szCs w:val="24"/>
        </w:rPr>
        <w:t>.</w:t>
      </w:r>
      <w:proofErr w:type="gramEnd"/>
      <w:r>
        <w:rPr>
          <w:snapToGrid w:val="0"/>
          <w:color w:val="000000"/>
          <w:sz w:val="24"/>
          <w:szCs w:val="24"/>
        </w:rPr>
        <w:t xml:space="preserve"> № </w:t>
      </w:r>
      <w:proofErr w:type="gramStart"/>
      <w:r>
        <w:rPr>
          <w:snapToGrid w:val="0"/>
          <w:color w:val="000000"/>
          <w:sz w:val="24"/>
          <w:szCs w:val="24"/>
        </w:rPr>
        <w:t>КТ-1-1076/2020 от 27.02.2020)</w:t>
      </w:r>
      <w:r>
        <w:rPr>
          <w:snapToGrid w:val="0"/>
          <w:sz w:val="24"/>
          <w:szCs w:val="24"/>
        </w:rPr>
        <w:t xml:space="preserve">                   СМУП «Водоканал» выразило согласие с предлагаемой ЛенРТК величиной тарифов и просьбой рассмотреть вопрос в отсутствие своих представителей.</w:t>
      </w:r>
      <w:proofErr w:type="gramEnd"/>
    </w:p>
    <w:p w:rsidR="00267786" w:rsidRDefault="00267786" w:rsidP="00267786">
      <w:pPr>
        <w:ind w:firstLine="709"/>
        <w:jc w:val="both"/>
        <w:rPr>
          <w:snapToGrid w:val="0"/>
          <w:sz w:val="24"/>
          <w:szCs w:val="24"/>
        </w:rPr>
      </w:pPr>
    </w:p>
    <w:p w:rsidR="00267786" w:rsidRDefault="00267786" w:rsidP="00267786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267786" w:rsidRDefault="00267786" w:rsidP="00267786">
      <w:pPr>
        <w:ind w:firstLine="709"/>
        <w:jc w:val="both"/>
        <w:rPr>
          <w:b/>
          <w:snapToGrid w:val="0"/>
          <w:sz w:val="24"/>
          <w:szCs w:val="24"/>
        </w:rPr>
      </w:pPr>
    </w:p>
    <w:p w:rsidR="00267786" w:rsidRDefault="00267786" w:rsidP="00267786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Установить тариф на подключение</w:t>
      </w:r>
      <w:r>
        <w:rPr>
          <w:bCs/>
          <w:sz w:val="24"/>
          <w:szCs w:val="24"/>
        </w:rPr>
        <w:t xml:space="preserve"> (технологическое присоединение) </w:t>
      </w:r>
      <w:r>
        <w:rPr>
          <w:sz w:val="24"/>
          <w:szCs w:val="24"/>
        </w:rPr>
        <w:t xml:space="preserve">к централизованной системе холодного водоснабжения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муниципального унитарного предприятия «ВОДОКАНАЛ» объектов капитального строительства заявителей, расположенных на территории муниципального образования «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округ» Ленинградской области на 2020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согласно таблице № 1</w:t>
      </w:r>
      <w:r>
        <w:rPr>
          <w:bCs/>
          <w:sz w:val="24"/>
          <w:szCs w:val="24"/>
        </w:rPr>
        <w:t>.</w:t>
      </w:r>
    </w:p>
    <w:p w:rsidR="00267786" w:rsidRDefault="00267786" w:rsidP="00267786">
      <w:pPr>
        <w:tabs>
          <w:tab w:val="left" w:pos="1134"/>
        </w:tabs>
        <w:ind w:left="709"/>
        <w:jc w:val="right"/>
        <w:rPr>
          <w:i/>
          <w:snapToGrid w:val="0"/>
        </w:rPr>
      </w:pPr>
      <w:r>
        <w:rPr>
          <w:i/>
          <w:snapToGrid w:val="0"/>
        </w:rPr>
        <w:t>таблица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560"/>
        <w:gridCol w:w="1134"/>
      </w:tblGrid>
      <w:tr w:rsidR="00267786" w:rsidTr="00D31231">
        <w:trPr>
          <w:trHeight w:val="59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Значение*</w:t>
            </w:r>
          </w:p>
        </w:tc>
      </w:tr>
      <w:tr w:rsidR="00267786" w:rsidTr="00267786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</w:pPr>
            <w:r>
              <w:t>4</w:t>
            </w:r>
          </w:p>
        </w:tc>
      </w:tr>
      <w:tr w:rsidR="00267786" w:rsidTr="00D31231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both"/>
            </w:pPr>
            <w:r>
              <w:t>Расходы, связанные с подключением (технологическим присоединением)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35,69</w:t>
            </w:r>
          </w:p>
        </w:tc>
      </w:tr>
      <w:tr w:rsidR="00267786" w:rsidTr="00D31231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both"/>
            </w:pPr>
            <w:r>
              <w:t>Расходы на проведение мероприятий по подключению заявителей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35,69</w:t>
            </w:r>
          </w:p>
        </w:tc>
      </w:tr>
      <w:tr w:rsidR="00267786" w:rsidTr="00D31231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both"/>
            </w:pPr>
            <w:r>
              <w:t>расходы на проектирование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D31231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both"/>
            </w:pPr>
            <w:r>
              <w:t>расходы на сырье и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D31231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both"/>
            </w:pPr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D31231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both"/>
            </w:pPr>
            <w:r>
              <w:t>расходы на оплату работ и услуг сторонних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D31231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both"/>
            </w:pPr>
            <w:r>
              <w:t xml:space="preserve">оплата труда и отчисления </w:t>
            </w:r>
            <w:proofErr w:type="gramStart"/>
            <w:r>
              <w:t>на</w:t>
            </w:r>
            <w:proofErr w:type="gramEnd"/>
            <w:r>
              <w:t xml:space="preserve"> социальные нужны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35,69</w:t>
            </w:r>
          </w:p>
        </w:tc>
      </w:tr>
      <w:tr w:rsidR="00267786" w:rsidTr="00D31231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both"/>
            </w:pPr>
            <w: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D31231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Внереализационные расходы,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D31231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Налог на прибыль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D31231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Структура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D31231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lastRenderedPageBreak/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Расходы, относимые на ставку за протяженность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D31231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Расходы, относимые на ставку за подключаемую нагрузку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35,69</w:t>
            </w:r>
          </w:p>
        </w:tc>
      </w:tr>
      <w:tr w:rsidR="00267786" w:rsidTr="00D31231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Протяженность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D31231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Подключаемая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</w:pPr>
            <w:r>
              <w:t>куб. м в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18,6</w:t>
            </w:r>
          </w:p>
        </w:tc>
      </w:tr>
      <w:tr w:rsidR="00267786" w:rsidTr="00D31231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Предлагаемые тарифы на подключение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/>
        </w:tc>
      </w:tr>
      <w:tr w:rsidR="00267786" w:rsidTr="00D3123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Базовая ставка тарифа на протяженность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267786" w:rsidTr="00D31231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/>
        </w:tc>
      </w:tr>
      <w:tr w:rsidR="00267786" w:rsidTr="00D31231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Базовая ставка тарифа на подключаемую нагрузку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</w:pPr>
            <w:r>
              <w:t>тыс. руб./куб.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 xml:space="preserve">1,918 </w:t>
            </w:r>
          </w:p>
        </w:tc>
      </w:tr>
    </w:tbl>
    <w:p w:rsidR="00267786" w:rsidRDefault="00267786" w:rsidP="00267786">
      <w:pPr>
        <w:widowControl w:val="0"/>
        <w:autoSpaceDE w:val="0"/>
        <w:autoSpaceDN w:val="0"/>
        <w:adjustRightInd w:val="0"/>
      </w:pPr>
      <w:r>
        <w:t xml:space="preserve">      *  </w:t>
      </w:r>
      <w:r>
        <w:rPr>
          <w:i/>
        </w:rPr>
        <w:t>тарифы указаны без учета налога на добавленную стоимость</w:t>
      </w:r>
    </w:p>
    <w:p w:rsidR="00267786" w:rsidRDefault="00267786" w:rsidP="00267786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267786" w:rsidRDefault="00267786" w:rsidP="0026778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Установить тариф на подключение</w:t>
      </w:r>
      <w:r>
        <w:rPr>
          <w:rFonts w:eastAsia="Calibri"/>
          <w:bCs/>
          <w:sz w:val="24"/>
          <w:szCs w:val="24"/>
          <w:lang w:eastAsia="en-US"/>
        </w:rPr>
        <w:t xml:space="preserve"> (технологическое присоединение) </w:t>
      </w:r>
      <w:r>
        <w:rPr>
          <w:rFonts w:eastAsia="Calibri"/>
          <w:sz w:val="24"/>
          <w:szCs w:val="24"/>
          <w:lang w:eastAsia="en-US"/>
        </w:rPr>
        <w:t xml:space="preserve">к централизованной системе водоотведения </w:t>
      </w:r>
      <w:proofErr w:type="spellStart"/>
      <w:r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унитарного предприятия «ВОДОКАНАЛ» объектов капитального строительства заявителей, расположенных на территории муниципального образования «</w:t>
      </w:r>
      <w:proofErr w:type="spellStart"/>
      <w:r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городской округ» Ленинградской области на 2020 год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согласно таблице № 2.</w:t>
      </w:r>
    </w:p>
    <w:p w:rsidR="00D31231" w:rsidRDefault="00D31231" w:rsidP="00267786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lang w:eastAsia="en-US"/>
        </w:rPr>
      </w:pPr>
    </w:p>
    <w:p w:rsidR="00267786" w:rsidRDefault="00267786" w:rsidP="00267786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таблица № 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560"/>
        <w:gridCol w:w="1134"/>
      </w:tblGrid>
      <w:tr w:rsidR="00267786" w:rsidTr="008F7BD5">
        <w:trPr>
          <w:trHeight w:val="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Значение*</w:t>
            </w:r>
          </w:p>
        </w:tc>
      </w:tr>
      <w:tr w:rsidR="00267786" w:rsidTr="00267786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</w:pPr>
            <w:r>
              <w:t>4</w:t>
            </w:r>
          </w:p>
        </w:tc>
      </w:tr>
      <w:tr w:rsidR="00267786" w:rsidTr="00D31231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both"/>
            </w:pPr>
            <w:r>
              <w:t>Расходы, связанные с подключением (технологическим присоединением)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35,69</w:t>
            </w:r>
          </w:p>
        </w:tc>
      </w:tr>
      <w:tr w:rsidR="00267786" w:rsidTr="00D31231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both"/>
            </w:pPr>
            <w:r>
              <w:t>Расходы на проведение мероприятий по подключению заявителей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35,69</w:t>
            </w:r>
          </w:p>
        </w:tc>
      </w:tr>
      <w:tr w:rsidR="00267786" w:rsidTr="00D31231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both"/>
            </w:pPr>
            <w:r>
              <w:t>расходы на проектирование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D3123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both"/>
            </w:pPr>
            <w:r>
              <w:t>расходы на сырье и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D31231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both"/>
            </w:pPr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D31231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both"/>
            </w:pPr>
            <w:r>
              <w:t>расходы на оплату работ и услуг сторонних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D3123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1.1.5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both"/>
            </w:pPr>
            <w:r>
              <w:t xml:space="preserve">оплата труда и отчисления </w:t>
            </w:r>
            <w:proofErr w:type="gramStart"/>
            <w:r>
              <w:t>на</w:t>
            </w:r>
            <w:proofErr w:type="gramEnd"/>
            <w:r>
              <w:t xml:space="preserve"> социальные нужны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35,69</w:t>
            </w:r>
          </w:p>
        </w:tc>
      </w:tr>
      <w:tr w:rsidR="00267786" w:rsidTr="00D31231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1.1.6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both"/>
            </w:pPr>
            <w: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561106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Внереализационные расходы,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561106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Налог на прибыль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561106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Структура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561106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Расходы, относимые на ставку за протяженность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D31231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Расходы, относимые на ставку за подключаемую нагрузку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35,69</w:t>
            </w:r>
          </w:p>
        </w:tc>
      </w:tr>
      <w:tr w:rsidR="00267786" w:rsidTr="00561106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Протяженность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-</w:t>
            </w:r>
          </w:p>
        </w:tc>
      </w:tr>
      <w:tr w:rsidR="00267786" w:rsidTr="00561106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Подключаемая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</w:pPr>
            <w:r>
              <w:t>куб. м в 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>18,6</w:t>
            </w:r>
          </w:p>
        </w:tc>
      </w:tr>
      <w:tr w:rsidR="00267786" w:rsidTr="00561106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Предлагаемые тарифы на подключение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/>
        </w:tc>
      </w:tr>
      <w:tr w:rsidR="00267786" w:rsidTr="00561106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Базовая ставка тарифа на протяженность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267786" w:rsidTr="00561106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/>
        </w:tc>
      </w:tr>
      <w:tr w:rsidR="00267786" w:rsidTr="00561106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ind w:left="-108" w:right="-108"/>
              <w:jc w:val="center"/>
            </w:pPr>
            <w:r>
              <w:t>5.3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r>
              <w:t>Базовая ставка тарифа на подключаемую нагрузку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86" w:rsidRDefault="00267786">
            <w:pPr>
              <w:jc w:val="center"/>
            </w:pPr>
            <w:r>
              <w:t>тыс. руб./куб.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7786" w:rsidRDefault="00267786">
            <w:pPr>
              <w:jc w:val="center"/>
            </w:pPr>
            <w:r>
              <w:t xml:space="preserve">1,918 </w:t>
            </w:r>
          </w:p>
        </w:tc>
      </w:tr>
    </w:tbl>
    <w:p w:rsidR="00267786" w:rsidRDefault="00267786" w:rsidP="00267786">
      <w:pPr>
        <w:widowControl w:val="0"/>
        <w:autoSpaceDE w:val="0"/>
        <w:autoSpaceDN w:val="0"/>
        <w:adjustRightInd w:val="0"/>
      </w:pPr>
      <w:r>
        <w:t xml:space="preserve">      *  </w:t>
      </w:r>
      <w:r>
        <w:rPr>
          <w:i/>
        </w:rPr>
        <w:t>тарифы указаны без учета налога на добавленную стоимость</w:t>
      </w:r>
    </w:p>
    <w:p w:rsidR="00267786" w:rsidRDefault="00267786" w:rsidP="002677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67786" w:rsidRDefault="00267786" w:rsidP="00267786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561106" w:rsidRDefault="00561106" w:rsidP="00561106">
      <w:pPr>
        <w:ind w:firstLine="567"/>
        <w:jc w:val="both"/>
        <w:rPr>
          <w:b/>
          <w:sz w:val="24"/>
          <w:szCs w:val="24"/>
        </w:rPr>
      </w:pPr>
    </w:p>
    <w:p w:rsidR="00561106" w:rsidRDefault="00561106" w:rsidP="0056110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>
        <w:rPr>
          <w:b/>
          <w:sz w:val="24"/>
          <w:szCs w:val="24"/>
        </w:rPr>
        <w:t>индивидуальному проекту</w:t>
      </w:r>
      <w:proofErr w:type="gramEnd"/>
      <w:r>
        <w:rPr>
          <w:b/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>
        <w:rPr>
          <w:b/>
          <w:sz w:val="24"/>
          <w:szCs w:val="24"/>
        </w:rPr>
        <w:t>Ленинградская область, Выборгский район, МО «Приморское сельское поселение», пос. Озерки (</w:t>
      </w:r>
      <w:proofErr w:type="spellStart"/>
      <w:r>
        <w:rPr>
          <w:b/>
          <w:sz w:val="24"/>
          <w:szCs w:val="24"/>
        </w:rPr>
        <w:t>кад</w:t>
      </w:r>
      <w:proofErr w:type="spellEnd"/>
      <w:r>
        <w:rPr>
          <w:b/>
          <w:sz w:val="24"/>
          <w:szCs w:val="24"/>
        </w:rPr>
        <w:t>. № 47:01:1310001:355)»</w:t>
      </w:r>
      <w:r>
        <w:rPr>
          <w:sz w:val="24"/>
          <w:szCs w:val="24"/>
        </w:rPr>
        <w:t xml:space="preserve"> начальник отдела перспективного развития регулируемых организаций комитета по тарифам Ленинградской области Марков А.Е. обратился к членам Правления ЛенРТК с просьбой объявить перерыв по рассмотрению вопроса, в связи с подготовкой АО «Газпром газораспределение Ленинградская область» особого мнения. </w:t>
      </w:r>
      <w:proofErr w:type="gramEnd"/>
    </w:p>
    <w:p w:rsidR="00561106" w:rsidRDefault="00561106" w:rsidP="00561106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561106" w:rsidRDefault="00561106" w:rsidP="00561106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561106" w:rsidP="007057F1">
      <w:pPr>
        <w:ind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вышеизложенного</w:t>
      </w:r>
      <w:proofErr w:type="gramEnd"/>
      <w:r>
        <w:rPr>
          <w:sz w:val="24"/>
          <w:szCs w:val="24"/>
        </w:rPr>
        <w:t xml:space="preserve"> объявлен перерыв до 16.45 28.02.2020.</w:t>
      </w:r>
      <w:bookmarkStart w:id="0" w:name="_GoBack"/>
      <w:bookmarkEnd w:id="0"/>
    </w:p>
    <w:p w:rsidR="00561106" w:rsidRDefault="00561106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26778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67786">
        <w:rPr>
          <w:sz w:val="24"/>
          <w:szCs w:val="24"/>
        </w:rPr>
        <w:t xml:space="preserve">  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677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</w:t>
      </w:r>
      <w:r w:rsidR="00267786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2677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С.А. Курылко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612DBE" w:rsidRDefault="00612DBE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677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8F7BD5" w:rsidRDefault="008F7BD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</w:t>
      </w:r>
      <w:r w:rsidR="0026778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А.И. Тулупова</w:t>
      </w:r>
    </w:p>
    <w:sectPr w:rsidR="00BD37E4" w:rsidSect="00267786">
      <w:headerReference w:type="default" r:id="rId8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06" w:rsidRDefault="00561106" w:rsidP="00267786">
      <w:r>
        <w:separator/>
      </w:r>
    </w:p>
  </w:endnote>
  <w:endnote w:type="continuationSeparator" w:id="0">
    <w:p w:rsidR="00561106" w:rsidRDefault="00561106" w:rsidP="0026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06" w:rsidRDefault="00561106" w:rsidP="00267786">
      <w:r>
        <w:separator/>
      </w:r>
    </w:p>
  </w:footnote>
  <w:footnote w:type="continuationSeparator" w:id="0">
    <w:p w:rsidR="00561106" w:rsidRDefault="00561106" w:rsidP="00267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645156"/>
      <w:docPartObj>
        <w:docPartGallery w:val="Page Numbers (Top of Page)"/>
        <w:docPartUnique/>
      </w:docPartObj>
    </w:sdtPr>
    <w:sdtContent>
      <w:p w:rsidR="00561106" w:rsidRDefault="005611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9E5">
          <w:rPr>
            <w:noProof/>
          </w:rPr>
          <w:t>8</w:t>
        </w:r>
        <w:r>
          <w:fldChar w:fldCharType="end"/>
        </w:r>
      </w:p>
    </w:sdtContent>
  </w:sdt>
  <w:p w:rsidR="00561106" w:rsidRDefault="005611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371"/>
    <w:multiLevelType w:val="hybridMultilevel"/>
    <w:tmpl w:val="216E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23F6"/>
    <w:multiLevelType w:val="hybridMultilevel"/>
    <w:tmpl w:val="0E426E3C"/>
    <w:lvl w:ilvl="0" w:tplc="C96CBE6E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8F0EA0"/>
    <w:multiLevelType w:val="multilevel"/>
    <w:tmpl w:val="D186AC9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>
    <w:nsid w:val="74175F94"/>
    <w:multiLevelType w:val="multilevel"/>
    <w:tmpl w:val="D714A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5227D"/>
    <w:rsid w:val="0015444E"/>
    <w:rsid w:val="001620E2"/>
    <w:rsid w:val="002627EB"/>
    <w:rsid w:val="00267786"/>
    <w:rsid w:val="002F2728"/>
    <w:rsid w:val="00314CF9"/>
    <w:rsid w:val="003B6B87"/>
    <w:rsid w:val="003C3D4D"/>
    <w:rsid w:val="00406BAA"/>
    <w:rsid w:val="00472534"/>
    <w:rsid w:val="00561106"/>
    <w:rsid w:val="00575E9F"/>
    <w:rsid w:val="005A40CD"/>
    <w:rsid w:val="005C704F"/>
    <w:rsid w:val="00612DBE"/>
    <w:rsid w:val="00624B18"/>
    <w:rsid w:val="007057F1"/>
    <w:rsid w:val="00706A0B"/>
    <w:rsid w:val="007244AB"/>
    <w:rsid w:val="007753ED"/>
    <w:rsid w:val="0084613E"/>
    <w:rsid w:val="00894DB5"/>
    <w:rsid w:val="008F7BD5"/>
    <w:rsid w:val="00900E45"/>
    <w:rsid w:val="00932E36"/>
    <w:rsid w:val="009A63CA"/>
    <w:rsid w:val="00A34C6B"/>
    <w:rsid w:val="00A36B0E"/>
    <w:rsid w:val="00B756D9"/>
    <w:rsid w:val="00BA2D33"/>
    <w:rsid w:val="00BD37E4"/>
    <w:rsid w:val="00C62583"/>
    <w:rsid w:val="00CD49E5"/>
    <w:rsid w:val="00D31231"/>
    <w:rsid w:val="00D45CA3"/>
    <w:rsid w:val="00DD3BD1"/>
    <w:rsid w:val="00E35AB1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77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77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7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77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77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778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77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7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77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77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8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36</cp:revision>
  <cp:lastPrinted>2020-03-04T13:07:00Z</cp:lastPrinted>
  <dcterms:created xsi:type="dcterms:W3CDTF">2014-10-27T07:45:00Z</dcterms:created>
  <dcterms:modified xsi:type="dcterms:W3CDTF">2020-03-05T09:43:00Z</dcterms:modified>
</cp:coreProperties>
</file>