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4A0BE2" w:rsidRDefault="007057F1" w:rsidP="007057F1">
      <w:pPr>
        <w:pStyle w:val="1"/>
        <w:rPr>
          <w:b/>
          <w:sz w:val="28"/>
          <w:szCs w:val="28"/>
        </w:rPr>
      </w:pPr>
      <w:r w:rsidRPr="004A0BE2">
        <w:rPr>
          <w:b/>
          <w:color w:val="000000"/>
          <w:sz w:val="28"/>
          <w:szCs w:val="28"/>
        </w:rPr>
        <w:t>Протокол</w:t>
      </w:r>
      <w:r w:rsidR="00932E36" w:rsidRPr="004A0BE2">
        <w:rPr>
          <w:b/>
          <w:color w:val="000000"/>
          <w:sz w:val="28"/>
          <w:szCs w:val="28"/>
        </w:rPr>
        <w:t xml:space="preserve"> № </w:t>
      </w:r>
      <w:r w:rsidR="0005462F" w:rsidRPr="004A0BE2">
        <w:rPr>
          <w:b/>
          <w:color w:val="000000"/>
          <w:sz w:val="28"/>
          <w:szCs w:val="28"/>
        </w:rPr>
        <w:t>21</w:t>
      </w:r>
    </w:p>
    <w:p w:rsidR="007057F1" w:rsidRPr="004A0BE2" w:rsidRDefault="007057F1" w:rsidP="007057F1">
      <w:pPr>
        <w:pStyle w:val="1"/>
        <w:rPr>
          <w:b/>
          <w:sz w:val="28"/>
          <w:szCs w:val="28"/>
        </w:rPr>
      </w:pPr>
      <w:r w:rsidRPr="004A0BE2">
        <w:rPr>
          <w:b/>
          <w:sz w:val="28"/>
          <w:szCs w:val="28"/>
        </w:rPr>
        <w:t>заседания Правления</w:t>
      </w:r>
    </w:p>
    <w:p w:rsidR="007057F1" w:rsidRPr="004A0BE2" w:rsidRDefault="007057F1" w:rsidP="007057F1">
      <w:pPr>
        <w:pStyle w:val="3"/>
        <w:rPr>
          <w:b/>
          <w:sz w:val="28"/>
          <w:szCs w:val="28"/>
        </w:rPr>
      </w:pPr>
      <w:r w:rsidRPr="004A0BE2">
        <w:rPr>
          <w:b/>
          <w:sz w:val="28"/>
          <w:szCs w:val="28"/>
        </w:rPr>
        <w:t xml:space="preserve">комитета по тарифам и ценовой политике </w:t>
      </w:r>
    </w:p>
    <w:p w:rsidR="007057F1" w:rsidRPr="004A0BE2" w:rsidRDefault="007057F1" w:rsidP="007057F1">
      <w:pPr>
        <w:pStyle w:val="3"/>
        <w:rPr>
          <w:b/>
          <w:sz w:val="28"/>
          <w:szCs w:val="28"/>
        </w:rPr>
      </w:pPr>
      <w:r w:rsidRPr="004A0BE2">
        <w:rPr>
          <w:b/>
          <w:sz w:val="28"/>
          <w:szCs w:val="28"/>
        </w:rPr>
        <w:t xml:space="preserve">Ленинградской области </w:t>
      </w:r>
    </w:p>
    <w:p w:rsidR="007057F1" w:rsidRPr="004A0BE2" w:rsidRDefault="007057F1" w:rsidP="007057F1">
      <w:pPr>
        <w:rPr>
          <w:b/>
          <w:sz w:val="28"/>
          <w:szCs w:val="28"/>
        </w:rPr>
      </w:pPr>
      <w:r w:rsidRPr="004A0BE2">
        <w:rPr>
          <w:b/>
          <w:sz w:val="28"/>
          <w:szCs w:val="28"/>
        </w:rPr>
        <w:tab/>
        <w:t xml:space="preserve">          </w:t>
      </w:r>
      <w:r w:rsidRPr="004A0BE2">
        <w:rPr>
          <w:b/>
          <w:sz w:val="28"/>
          <w:szCs w:val="28"/>
        </w:rPr>
        <w:tab/>
      </w:r>
      <w:r w:rsidRPr="004A0BE2">
        <w:rPr>
          <w:b/>
          <w:sz w:val="28"/>
          <w:szCs w:val="28"/>
        </w:rPr>
        <w:tab/>
      </w:r>
      <w:r w:rsidRPr="004A0BE2">
        <w:rPr>
          <w:b/>
          <w:sz w:val="28"/>
          <w:szCs w:val="28"/>
        </w:rPr>
        <w:tab/>
      </w:r>
      <w:r w:rsidRPr="004A0BE2">
        <w:rPr>
          <w:b/>
          <w:sz w:val="28"/>
          <w:szCs w:val="28"/>
        </w:rPr>
        <w:tab/>
        <w:t xml:space="preserve">                                                                      </w:t>
      </w:r>
    </w:p>
    <w:p w:rsidR="007057F1" w:rsidRPr="004A0BE2" w:rsidRDefault="0005462F" w:rsidP="007057F1">
      <w:pPr>
        <w:rPr>
          <w:sz w:val="28"/>
          <w:szCs w:val="28"/>
        </w:rPr>
      </w:pPr>
      <w:r w:rsidRPr="004A0BE2">
        <w:rPr>
          <w:sz w:val="28"/>
          <w:szCs w:val="28"/>
        </w:rPr>
        <w:t>18</w:t>
      </w:r>
      <w:r w:rsidR="007057F1" w:rsidRPr="004A0BE2">
        <w:rPr>
          <w:sz w:val="28"/>
          <w:szCs w:val="28"/>
        </w:rPr>
        <w:t xml:space="preserve"> </w:t>
      </w:r>
      <w:r w:rsidR="0043705A" w:rsidRPr="004A0BE2">
        <w:rPr>
          <w:sz w:val="28"/>
          <w:szCs w:val="28"/>
        </w:rPr>
        <w:t>июля</w:t>
      </w:r>
      <w:r w:rsidR="007057F1" w:rsidRPr="004A0BE2">
        <w:rPr>
          <w:sz w:val="28"/>
          <w:szCs w:val="28"/>
        </w:rPr>
        <w:t xml:space="preserve"> 201</w:t>
      </w:r>
      <w:r w:rsidR="0043705A" w:rsidRPr="004A0BE2">
        <w:rPr>
          <w:sz w:val="28"/>
          <w:szCs w:val="28"/>
        </w:rPr>
        <w:t>8</w:t>
      </w:r>
      <w:r w:rsidR="007057F1" w:rsidRPr="004A0BE2">
        <w:rPr>
          <w:sz w:val="28"/>
          <w:szCs w:val="28"/>
        </w:rPr>
        <w:t xml:space="preserve"> года                     </w:t>
      </w:r>
      <w:r w:rsidR="0043705A" w:rsidRPr="004A0BE2">
        <w:rPr>
          <w:sz w:val="28"/>
          <w:szCs w:val="28"/>
        </w:rPr>
        <w:t xml:space="preserve">       </w:t>
      </w:r>
      <w:r w:rsidR="004A0BE2">
        <w:rPr>
          <w:sz w:val="28"/>
          <w:szCs w:val="28"/>
        </w:rPr>
        <w:t xml:space="preserve">                       </w:t>
      </w:r>
      <w:r w:rsidR="004A0BE2" w:rsidRPr="004A0BE2">
        <w:rPr>
          <w:sz w:val="28"/>
          <w:szCs w:val="28"/>
        </w:rPr>
        <w:t xml:space="preserve">               </w:t>
      </w:r>
      <w:r w:rsidR="005A40CD" w:rsidRPr="004A0BE2">
        <w:rPr>
          <w:sz w:val="28"/>
          <w:szCs w:val="28"/>
        </w:rPr>
        <w:t xml:space="preserve">                    Санкт-Пете</w:t>
      </w:r>
      <w:r w:rsidR="007057F1" w:rsidRPr="004A0BE2">
        <w:rPr>
          <w:sz w:val="28"/>
          <w:szCs w:val="28"/>
        </w:rPr>
        <w:t>рбург</w:t>
      </w:r>
    </w:p>
    <w:p w:rsidR="004A0BE2" w:rsidRPr="004A0BE2" w:rsidRDefault="004A0BE2" w:rsidP="007057F1">
      <w:pPr>
        <w:rPr>
          <w:sz w:val="28"/>
          <w:szCs w:val="28"/>
        </w:rPr>
      </w:pPr>
    </w:p>
    <w:p w:rsidR="007057F1" w:rsidRPr="004A0BE2" w:rsidRDefault="007057F1" w:rsidP="007057F1">
      <w:pPr>
        <w:ind w:firstLine="567"/>
        <w:rPr>
          <w:b/>
          <w:sz w:val="28"/>
          <w:szCs w:val="28"/>
        </w:rPr>
      </w:pPr>
      <w:r w:rsidRPr="004A0BE2">
        <w:rPr>
          <w:b/>
          <w:sz w:val="28"/>
          <w:szCs w:val="28"/>
        </w:rPr>
        <w:t xml:space="preserve">Председательствовал: </w:t>
      </w:r>
      <w:r w:rsidR="00894DB5" w:rsidRPr="004A0BE2">
        <w:rPr>
          <w:sz w:val="28"/>
          <w:szCs w:val="28"/>
        </w:rPr>
        <w:t>Кийски Артур Валтерович.</w:t>
      </w:r>
      <w:r w:rsidRPr="004A0BE2">
        <w:rPr>
          <w:sz w:val="28"/>
          <w:szCs w:val="28"/>
        </w:rPr>
        <w:t xml:space="preserve"> </w:t>
      </w:r>
    </w:p>
    <w:p w:rsidR="007057F1" w:rsidRPr="004A0BE2" w:rsidRDefault="002627EB" w:rsidP="002627EB">
      <w:pPr>
        <w:ind w:firstLine="567"/>
        <w:jc w:val="both"/>
        <w:rPr>
          <w:sz w:val="28"/>
          <w:szCs w:val="28"/>
        </w:rPr>
      </w:pPr>
      <w:r w:rsidRPr="004A0BE2">
        <w:rPr>
          <w:b/>
          <w:sz w:val="28"/>
          <w:szCs w:val="28"/>
        </w:rPr>
        <w:t>Присутствовали ч</w:t>
      </w:r>
      <w:r w:rsidR="007057F1" w:rsidRPr="004A0BE2">
        <w:rPr>
          <w:b/>
          <w:sz w:val="28"/>
          <w:szCs w:val="28"/>
        </w:rPr>
        <w:t xml:space="preserve">лены правления комитета по тарифам и ценовой политике Ленинградской области: </w:t>
      </w:r>
      <w:r w:rsidR="007057F1" w:rsidRPr="004A0BE2">
        <w:rPr>
          <w:sz w:val="28"/>
          <w:szCs w:val="28"/>
        </w:rPr>
        <w:t xml:space="preserve">Свиридова Татьяна Львовна, </w:t>
      </w:r>
      <w:r w:rsidR="00932E36" w:rsidRPr="004A0BE2">
        <w:rPr>
          <w:sz w:val="28"/>
          <w:szCs w:val="28"/>
        </w:rPr>
        <w:t xml:space="preserve">Чащихина Светлана Георгиевна, </w:t>
      </w:r>
      <w:proofErr w:type="spellStart"/>
      <w:r w:rsidR="0084613E" w:rsidRPr="004A0BE2">
        <w:rPr>
          <w:sz w:val="28"/>
          <w:szCs w:val="28"/>
        </w:rPr>
        <w:t>Синюкова</w:t>
      </w:r>
      <w:proofErr w:type="spellEnd"/>
      <w:r w:rsidR="0084613E" w:rsidRPr="004A0BE2">
        <w:rPr>
          <w:sz w:val="28"/>
          <w:szCs w:val="28"/>
        </w:rPr>
        <w:t xml:space="preserve"> Ирина Васильевна, </w:t>
      </w:r>
      <w:r w:rsidR="003C3D4D" w:rsidRPr="004A0BE2">
        <w:rPr>
          <w:sz w:val="28"/>
          <w:szCs w:val="28"/>
        </w:rPr>
        <w:t>Зороян Сурен Георгиевич</w:t>
      </w:r>
      <w:r w:rsidR="0084613E" w:rsidRPr="004A0BE2">
        <w:rPr>
          <w:sz w:val="28"/>
          <w:szCs w:val="28"/>
        </w:rPr>
        <w:t>, Кремнева Наталья Николаевна</w:t>
      </w:r>
      <w:r w:rsidR="00932E36" w:rsidRPr="004A0BE2">
        <w:rPr>
          <w:sz w:val="28"/>
          <w:szCs w:val="28"/>
        </w:rPr>
        <w:t xml:space="preserve">, </w:t>
      </w:r>
      <w:r w:rsidR="0084613E" w:rsidRPr="004A0BE2">
        <w:rPr>
          <w:sz w:val="28"/>
          <w:szCs w:val="28"/>
        </w:rPr>
        <w:t>Курылко Светлана Анатольевна.</w:t>
      </w:r>
    </w:p>
    <w:p w:rsidR="00BD37E4" w:rsidRPr="004A0BE2" w:rsidRDefault="00BD37E4" w:rsidP="00BD37E4">
      <w:pPr>
        <w:ind w:firstLine="567"/>
        <w:jc w:val="both"/>
        <w:rPr>
          <w:sz w:val="28"/>
          <w:szCs w:val="28"/>
        </w:rPr>
      </w:pPr>
      <w:r w:rsidRPr="004A0BE2">
        <w:rPr>
          <w:sz w:val="28"/>
          <w:szCs w:val="28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="007244AB" w:rsidRPr="004A0BE2">
        <w:rPr>
          <w:sz w:val="28"/>
          <w:szCs w:val="28"/>
        </w:rPr>
        <w:t>Абейдуллин</w:t>
      </w:r>
      <w:proofErr w:type="spellEnd"/>
      <w:r w:rsidR="007244AB" w:rsidRPr="004A0BE2">
        <w:rPr>
          <w:sz w:val="28"/>
          <w:szCs w:val="28"/>
        </w:rPr>
        <w:t xml:space="preserve"> Руслан </w:t>
      </w:r>
      <w:proofErr w:type="spellStart"/>
      <w:r w:rsidR="007244AB" w:rsidRPr="004A0BE2">
        <w:rPr>
          <w:sz w:val="28"/>
          <w:szCs w:val="28"/>
        </w:rPr>
        <w:t>Анверович</w:t>
      </w:r>
      <w:proofErr w:type="spellEnd"/>
      <w:r w:rsidRPr="004A0BE2">
        <w:rPr>
          <w:sz w:val="28"/>
          <w:szCs w:val="28"/>
        </w:rPr>
        <w:t xml:space="preserve"> с правом совещательного голоса.</w:t>
      </w:r>
    </w:p>
    <w:p w:rsidR="00BD37E4" w:rsidRPr="004A0BE2" w:rsidRDefault="00BD37E4" w:rsidP="007057F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A34C6B" w:rsidRPr="004A0BE2" w:rsidRDefault="00A34C6B" w:rsidP="00A34C6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A0BE2">
        <w:rPr>
          <w:b/>
          <w:sz w:val="28"/>
          <w:szCs w:val="28"/>
        </w:rPr>
        <w:t>Повестка заседания Правления ЛенРТК</w:t>
      </w:r>
      <w:r w:rsidRPr="004A0BE2">
        <w:rPr>
          <w:sz w:val="28"/>
          <w:szCs w:val="28"/>
        </w:rPr>
        <w:t>.</w:t>
      </w:r>
    </w:p>
    <w:p w:rsidR="0043705A" w:rsidRPr="004A0BE2" w:rsidRDefault="0043705A" w:rsidP="0043705A">
      <w:pPr>
        <w:tabs>
          <w:tab w:val="left" w:pos="42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A0BE2">
        <w:rPr>
          <w:sz w:val="28"/>
          <w:szCs w:val="28"/>
        </w:rPr>
        <w:t>1.</w:t>
      </w:r>
      <w:r w:rsidRPr="004A0BE2">
        <w:rPr>
          <w:sz w:val="28"/>
          <w:szCs w:val="28"/>
        </w:rPr>
        <w:tab/>
        <w:t>О внесении изменений в приказ комитета по тарифам и ценовой политике от 13 октября 2006 года № 100-п «О присвоении статуса гарантирующего поставщика обществу с ограниченной ответственностью «РУСЭНЕРГОСБЫТ», действующему на территории Ленинградской области».</w:t>
      </w:r>
    </w:p>
    <w:p w:rsidR="007057F1" w:rsidRPr="004A0BE2" w:rsidRDefault="0043705A" w:rsidP="0043705A">
      <w:pPr>
        <w:tabs>
          <w:tab w:val="left" w:pos="42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A0BE2">
        <w:rPr>
          <w:sz w:val="28"/>
          <w:szCs w:val="28"/>
        </w:rPr>
        <w:t>2.</w:t>
      </w:r>
      <w:r w:rsidRPr="004A0BE2">
        <w:rPr>
          <w:sz w:val="28"/>
          <w:szCs w:val="28"/>
        </w:rPr>
        <w:tab/>
      </w:r>
      <w:proofErr w:type="gramStart"/>
      <w:r w:rsidRPr="004A0BE2">
        <w:rPr>
          <w:sz w:val="28"/>
          <w:szCs w:val="28"/>
        </w:rPr>
        <w:t>О внесении изменений в приказ комитета по тарифам и ценовой политике Ленинградской области от 19 декабря 2017 года № 585-п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2018 году».</w:t>
      </w:r>
      <w:proofErr w:type="gramEnd"/>
    </w:p>
    <w:p w:rsidR="004A0BE2" w:rsidRPr="004A0BE2" w:rsidRDefault="004A0BE2" w:rsidP="0043705A">
      <w:pPr>
        <w:tabs>
          <w:tab w:val="left" w:pos="42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A0BE2" w:rsidRPr="004A0BE2" w:rsidRDefault="004A0BE2" w:rsidP="004A0BE2">
      <w:pPr>
        <w:ind w:firstLine="708"/>
        <w:jc w:val="both"/>
        <w:rPr>
          <w:sz w:val="28"/>
          <w:szCs w:val="28"/>
        </w:rPr>
      </w:pPr>
      <w:r w:rsidRPr="004A0BE2">
        <w:rPr>
          <w:b/>
          <w:sz w:val="28"/>
          <w:szCs w:val="28"/>
        </w:rPr>
        <w:t xml:space="preserve">1. </w:t>
      </w:r>
      <w:proofErr w:type="gramStart"/>
      <w:r w:rsidRPr="004A0BE2">
        <w:rPr>
          <w:b/>
          <w:sz w:val="28"/>
          <w:szCs w:val="28"/>
        </w:rPr>
        <w:t>По вопросу повестки «О внесении изменений в приказ комитета по тарифам и ценовой политике от 13 октября 2006 года № 100-п «О присвоении статуса гарантирующего поставщика обществу с ограниченной ответственностью «РУСЭНЕРГОСБЫТ», действующему на территории Ленинградской области»</w:t>
      </w:r>
      <w:r w:rsidRPr="004A0BE2">
        <w:rPr>
          <w:sz w:val="28"/>
          <w:szCs w:val="28"/>
        </w:rPr>
        <w:t xml:space="preserve"> выступила консультант регулирования тарифов на электрическую энергию департамента регулирования тарифов организаций коммунального комплекса и электрической энергии ЛенРТК </w:t>
      </w:r>
      <w:proofErr w:type="spellStart"/>
      <w:r w:rsidRPr="004A0BE2">
        <w:rPr>
          <w:sz w:val="28"/>
          <w:szCs w:val="28"/>
        </w:rPr>
        <w:t>Малерчук</w:t>
      </w:r>
      <w:proofErr w:type="spellEnd"/>
      <w:r w:rsidRPr="004A0BE2">
        <w:rPr>
          <w:sz w:val="28"/>
          <w:szCs w:val="28"/>
        </w:rPr>
        <w:t xml:space="preserve"> И.В., которая сообщила, что в соответствии</w:t>
      </w:r>
      <w:proofErr w:type="gramEnd"/>
      <w:r w:rsidRPr="004A0BE2">
        <w:rPr>
          <w:sz w:val="28"/>
          <w:szCs w:val="28"/>
        </w:rPr>
        <w:t xml:space="preserve"> </w:t>
      </w:r>
      <w:proofErr w:type="gramStart"/>
      <w:r w:rsidRPr="004A0BE2">
        <w:rPr>
          <w:sz w:val="28"/>
          <w:szCs w:val="28"/>
        </w:rPr>
        <w:t>с п. 231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№ 442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(</w:t>
      </w:r>
      <w:proofErr w:type="spellStart"/>
      <w:r w:rsidRPr="004A0BE2">
        <w:rPr>
          <w:sz w:val="28"/>
          <w:szCs w:val="28"/>
        </w:rPr>
        <w:t>энергоснабжающей</w:t>
      </w:r>
      <w:proofErr w:type="spellEnd"/>
      <w:r w:rsidRPr="004A0BE2">
        <w:rPr>
          <w:sz w:val="28"/>
          <w:szCs w:val="28"/>
        </w:rPr>
        <w:t xml:space="preserve"> организации, хозяйствующего субъекта), по которым определяются границы зоны деятельности соответствующего гарантирующего поставщика, в случае если такое изменение границ балансовой принадлежности объектов электросетевого хозяйства произошло</w:t>
      </w:r>
      <w:proofErr w:type="gramEnd"/>
      <w:r w:rsidRPr="004A0BE2">
        <w:rPr>
          <w:sz w:val="28"/>
          <w:szCs w:val="28"/>
        </w:rPr>
        <w:t xml:space="preserve"> исключительно в результате строительства и ввода в эксплуатацию новых объектов электросетевого </w:t>
      </w:r>
      <w:r w:rsidRPr="004A0BE2">
        <w:rPr>
          <w:sz w:val="28"/>
          <w:szCs w:val="28"/>
        </w:rPr>
        <w:lastRenderedPageBreak/>
        <w:t>хозяйства сетевой организации (</w:t>
      </w:r>
      <w:proofErr w:type="spellStart"/>
      <w:r w:rsidRPr="004A0BE2">
        <w:rPr>
          <w:sz w:val="28"/>
          <w:szCs w:val="28"/>
        </w:rPr>
        <w:t>энергоснабжающей</w:t>
      </w:r>
      <w:proofErr w:type="spellEnd"/>
      <w:r w:rsidRPr="004A0BE2">
        <w:rPr>
          <w:sz w:val="28"/>
          <w:szCs w:val="28"/>
        </w:rPr>
        <w:t xml:space="preserve"> организации, хозяйствующего субъекта). </w:t>
      </w:r>
    </w:p>
    <w:p w:rsidR="004A0BE2" w:rsidRPr="004A0BE2" w:rsidRDefault="004A0BE2" w:rsidP="004A0BE2">
      <w:pPr>
        <w:ind w:firstLine="708"/>
        <w:jc w:val="both"/>
        <w:rPr>
          <w:sz w:val="26"/>
          <w:szCs w:val="26"/>
        </w:rPr>
      </w:pPr>
      <w:r w:rsidRPr="004A0BE2">
        <w:rPr>
          <w:sz w:val="28"/>
          <w:szCs w:val="28"/>
        </w:rPr>
        <w:t>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</w:t>
      </w:r>
      <w:r w:rsidRPr="004A0BE2">
        <w:rPr>
          <w:sz w:val="26"/>
          <w:szCs w:val="26"/>
        </w:rPr>
        <w:t xml:space="preserve"> сетевой организации (</w:t>
      </w:r>
      <w:proofErr w:type="spellStart"/>
      <w:r w:rsidRPr="004A0BE2">
        <w:rPr>
          <w:sz w:val="26"/>
          <w:szCs w:val="26"/>
        </w:rPr>
        <w:t>энергоснабжающей</w:t>
      </w:r>
      <w:proofErr w:type="spellEnd"/>
      <w:r w:rsidRPr="004A0BE2">
        <w:rPr>
          <w:sz w:val="26"/>
          <w:szCs w:val="26"/>
        </w:rPr>
        <w:t xml:space="preserve"> организации, хозяйствующего субъекта) с учетом объектов электросетевого хозяйства, вновь введенных в эксплуатацию.</w:t>
      </w:r>
    </w:p>
    <w:p w:rsidR="004A0BE2" w:rsidRPr="004A0BE2" w:rsidRDefault="004A0BE2" w:rsidP="004A0BE2">
      <w:pPr>
        <w:ind w:firstLine="708"/>
        <w:jc w:val="both"/>
        <w:rPr>
          <w:sz w:val="28"/>
          <w:szCs w:val="28"/>
        </w:rPr>
      </w:pPr>
      <w:r w:rsidRPr="004A0BE2">
        <w:rPr>
          <w:sz w:val="28"/>
          <w:szCs w:val="28"/>
        </w:rPr>
        <w:t>ЛенРТК рассмотрено Заявление об изменении границ зоны деятельности гарантирующего поставщик</w:t>
      </w:r>
      <w:proofErr w:type="gramStart"/>
      <w:r w:rsidRPr="004A0BE2">
        <w:rPr>
          <w:sz w:val="28"/>
          <w:szCs w:val="28"/>
        </w:rPr>
        <w:t>а ООО</w:t>
      </w:r>
      <w:proofErr w:type="gramEnd"/>
      <w:r w:rsidRPr="004A0BE2">
        <w:rPr>
          <w:sz w:val="28"/>
          <w:szCs w:val="28"/>
        </w:rPr>
        <w:t xml:space="preserve"> «РУСЭНЕРГОСБЫТ» от 15.06.2018 № РЭС-П-03/70. В подтверждение ввода в действие объектов электросетевого хозяйства ОАО «РЖД» представлен Акт об осуществлении технологического присоединения от 27 февраля 2017 года № 625/АРБП-17 с указанием разграничения границ балансовой подписанные между ПАО «ФСК ЕЭС» и ОАО «РЖД».</w:t>
      </w:r>
    </w:p>
    <w:p w:rsidR="004A0BE2" w:rsidRPr="004A0BE2" w:rsidRDefault="004A0BE2" w:rsidP="004A0BE2">
      <w:pPr>
        <w:ind w:firstLine="708"/>
        <w:jc w:val="both"/>
        <w:rPr>
          <w:sz w:val="28"/>
          <w:szCs w:val="28"/>
        </w:rPr>
      </w:pPr>
      <w:r w:rsidRPr="004A0BE2">
        <w:rPr>
          <w:sz w:val="28"/>
          <w:szCs w:val="28"/>
        </w:rPr>
        <w:t>Учитывая вышеизложенное предложила внести изменение в описание границ зоны деятельности гарантирующего поставщик</w:t>
      </w:r>
      <w:proofErr w:type="gramStart"/>
      <w:r w:rsidRPr="004A0BE2">
        <w:rPr>
          <w:sz w:val="28"/>
          <w:szCs w:val="28"/>
        </w:rPr>
        <w:t>а ООО</w:t>
      </w:r>
      <w:proofErr w:type="gramEnd"/>
      <w:r w:rsidRPr="004A0BE2">
        <w:rPr>
          <w:sz w:val="28"/>
          <w:szCs w:val="28"/>
        </w:rPr>
        <w:t xml:space="preserve"> «РУСЭНЕРГОСБЫТ», изменив приложение 1 приказа комитета по тарифам и ценовой политике Ленинградской области от 13 октября 2006 года № 100-п «О присвоении статуса гарантирующего поставщика обществу с ограниченной ответственностью «РУСЭНЕРГОСБЫТ».</w:t>
      </w:r>
    </w:p>
    <w:p w:rsidR="004A0BE2" w:rsidRPr="004A0BE2" w:rsidRDefault="004A0BE2" w:rsidP="004A0BE2">
      <w:pPr>
        <w:ind w:firstLine="709"/>
        <w:jc w:val="both"/>
        <w:rPr>
          <w:snapToGrid w:val="0"/>
          <w:sz w:val="28"/>
          <w:szCs w:val="28"/>
        </w:rPr>
      </w:pPr>
      <w:r w:rsidRPr="004A0BE2">
        <w:rPr>
          <w:snapToGrid w:val="0"/>
          <w:sz w:val="28"/>
          <w:szCs w:val="28"/>
        </w:rPr>
        <w:t xml:space="preserve">Присутствующий на заседании Правления ЛенРТК представитель </w:t>
      </w:r>
      <w:r w:rsidRPr="004A0BE2">
        <w:rPr>
          <w:sz w:val="28"/>
          <w:szCs w:val="28"/>
        </w:rPr>
        <w:t xml:space="preserve">ООО «РУСЭНЕРГОСБЫТ» </w:t>
      </w:r>
      <w:proofErr w:type="spellStart"/>
      <w:r w:rsidRPr="004A0BE2">
        <w:rPr>
          <w:sz w:val="28"/>
          <w:szCs w:val="28"/>
        </w:rPr>
        <w:t>Мильцарик</w:t>
      </w:r>
      <w:proofErr w:type="spellEnd"/>
      <w:r w:rsidRPr="004A0BE2">
        <w:rPr>
          <w:sz w:val="28"/>
          <w:szCs w:val="28"/>
        </w:rPr>
        <w:t xml:space="preserve"> А.В.</w:t>
      </w:r>
      <w:r w:rsidRPr="004A0BE2">
        <w:rPr>
          <w:snapToGrid w:val="0"/>
          <w:sz w:val="28"/>
          <w:szCs w:val="28"/>
        </w:rPr>
        <w:t xml:space="preserve"> (действующий по доверенности № б/н от 25.12.2017) выразил свое согласие </w:t>
      </w:r>
      <w:r w:rsidRPr="004A0BE2">
        <w:rPr>
          <w:sz w:val="28"/>
          <w:szCs w:val="28"/>
        </w:rPr>
        <w:t>об изменении границ зоны деятельности гарантирующего поставщик</w:t>
      </w:r>
      <w:proofErr w:type="gramStart"/>
      <w:r w:rsidRPr="004A0BE2">
        <w:rPr>
          <w:sz w:val="28"/>
          <w:szCs w:val="28"/>
        </w:rPr>
        <w:t>а ООО</w:t>
      </w:r>
      <w:proofErr w:type="gramEnd"/>
      <w:r w:rsidRPr="004A0BE2">
        <w:rPr>
          <w:sz w:val="28"/>
          <w:szCs w:val="28"/>
        </w:rPr>
        <w:t xml:space="preserve"> «РУСЭНЕРГОСБЫТ»</w:t>
      </w:r>
      <w:r w:rsidRPr="004A0BE2">
        <w:rPr>
          <w:snapToGrid w:val="0"/>
          <w:sz w:val="28"/>
          <w:szCs w:val="28"/>
        </w:rPr>
        <w:t>.</w:t>
      </w:r>
    </w:p>
    <w:p w:rsidR="004A0BE2" w:rsidRPr="004A0BE2" w:rsidRDefault="004A0BE2" w:rsidP="004A0BE2">
      <w:pPr>
        <w:ind w:firstLine="709"/>
        <w:jc w:val="both"/>
        <w:rPr>
          <w:snapToGrid w:val="0"/>
          <w:sz w:val="28"/>
          <w:szCs w:val="28"/>
        </w:rPr>
      </w:pPr>
    </w:p>
    <w:p w:rsidR="004A0BE2" w:rsidRPr="004A0BE2" w:rsidRDefault="004A0BE2" w:rsidP="004A0BE2">
      <w:pPr>
        <w:ind w:firstLine="709"/>
        <w:jc w:val="both"/>
        <w:rPr>
          <w:b/>
          <w:snapToGrid w:val="0"/>
          <w:sz w:val="28"/>
          <w:szCs w:val="28"/>
        </w:rPr>
      </w:pPr>
      <w:r w:rsidRPr="004A0BE2">
        <w:rPr>
          <w:b/>
          <w:snapToGrid w:val="0"/>
          <w:sz w:val="28"/>
          <w:szCs w:val="28"/>
        </w:rPr>
        <w:t>Правление приняло решение:</w:t>
      </w:r>
    </w:p>
    <w:p w:rsidR="004A0BE2" w:rsidRPr="004A0BE2" w:rsidRDefault="004A0BE2" w:rsidP="004A0BE2">
      <w:pPr>
        <w:ind w:firstLine="708"/>
        <w:jc w:val="both"/>
        <w:rPr>
          <w:sz w:val="28"/>
          <w:szCs w:val="28"/>
        </w:rPr>
      </w:pPr>
      <w:r w:rsidRPr="004A0BE2">
        <w:rPr>
          <w:sz w:val="28"/>
          <w:szCs w:val="28"/>
        </w:rPr>
        <w:t xml:space="preserve">1. Внести в приказ комитета по тарифам и ценовой политике от 13 октября </w:t>
      </w:r>
      <w:r w:rsidRPr="004A0BE2">
        <w:rPr>
          <w:sz w:val="28"/>
          <w:szCs w:val="28"/>
        </w:rPr>
        <w:br/>
        <w:t xml:space="preserve">2006 года № 100-п «О присвоении статуса гарантирующего поставщика обществу с ограниченной ответственностью «РУСЭНЕРГОСБЫТ», действующему на территории Ленинградской области» следующие изменения: </w:t>
      </w:r>
    </w:p>
    <w:p w:rsidR="004A0BE2" w:rsidRPr="004A0BE2" w:rsidRDefault="004A0BE2" w:rsidP="004A0BE2">
      <w:pPr>
        <w:ind w:firstLine="708"/>
        <w:jc w:val="both"/>
        <w:rPr>
          <w:sz w:val="28"/>
          <w:szCs w:val="28"/>
        </w:rPr>
      </w:pPr>
      <w:r w:rsidRPr="004A0BE2">
        <w:rPr>
          <w:sz w:val="28"/>
          <w:szCs w:val="28"/>
        </w:rPr>
        <w:t>1.1. строки 139.1 и 139.2 приложения 1 к приказу изложить в следующей редакции:</w:t>
      </w:r>
    </w:p>
    <w:p w:rsidR="004A0BE2" w:rsidRPr="004A0BE2" w:rsidRDefault="004A0BE2" w:rsidP="004A0BE2">
      <w:pPr>
        <w:jc w:val="both"/>
        <w:rPr>
          <w:sz w:val="28"/>
          <w:szCs w:val="28"/>
        </w:rPr>
      </w:pPr>
      <w:r w:rsidRPr="004A0BE2">
        <w:rPr>
          <w:sz w:val="28"/>
          <w:szCs w:val="28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58"/>
        <w:gridCol w:w="2811"/>
      </w:tblGrid>
      <w:tr w:rsidR="004A0BE2" w:rsidRPr="004A0BE2" w:rsidTr="00483F6A">
        <w:trPr>
          <w:trHeight w:val="7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2" w:rsidRPr="004A0BE2" w:rsidRDefault="004A0BE2" w:rsidP="004A0BE2">
            <w:pPr>
              <w:jc w:val="center"/>
            </w:pPr>
            <w:r w:rsidRPr="004A0BE2">
              <w:t>139.1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2" w:rsidRPr="004A0BE2" w:rsidRDefault="004A0BE2" w:rsidP="004A0BE2">
            <w:r w:rsidRPr="004A0BE2">
              <w:t xml:space="preserve">ПС 330 </w:t>
            </w:r>
            <w:proofErr w:type="spellStart"/>
            <w:r w:rsidRPr="004A0BE2">
              <w:t>кВ</w:t>
            </w:r>
            <w:proofErr w:type="spellEnd"/>
            <w:r w:rsidRPr="004A0BE2">
              <w:t xml:space="preserve"> </w:t>
            </w:r>
            <w:proofErr w:type="spellStart"/>
            <w:r w:rsidRPr="004A0BE2">
              <w:t>Кингисеппская</w:t>
            </w:r>
            <w:proofErr w:type="spellEnd"/>
            <w:r w:rsidRPr="004A0BE2">
              <w:t xml:space="preserve"> 330/110/10 </w:t>
            </w:r>
            <w:proofErr w:type="spellStart"/>
            <w:r w:rsidRPr="004A0BE2">
              <w:t>кВ</w:t>
            </w:r>
            <w:proofErr w:type="spellEnd"/>
            <w:r w:rsidRPr="004A0BE2">
              <w:t xml:space="preserve">, ОРУ 110 </w:t>
            </w:r>
            <w:proofErr w:type="spellStart"/>
            <w:r w:rsidRPr="004A0BE2">
              <w:t>кВ</w:t>
            </w:r>
            <w:proofErr w:type="spellEnd"/>
            <w:r w:rsidRPr="004A0BE2">
              <w:t xml:space="preserve">, ячейка КВЛ 110 </w:t>
            </w:r>
            <w:proofErr w:type="spellStart"/>
            <w:r w:rsidRPr="004A0BE2">
              <w:t>кВ</w:t>
            </w:r>
            <w:proofErr w:type="spellEnd"/>
            <w:r w:rsidRPr="004A0BE2">
              <w:t xml:space="preserve"> </w:t>
            </w:r>
            <w:proofErr w:type="spellStart"/>
            <w:r w:rsidRPr="004A0BE2">
              <w:t>Кингисеппская</w:t>
            </w:r>
            <w:proofErr w:type="spellEnd"/>
            <w:r w:rsidRPr="004A0BE2">
              <w:t>-</w:t>
            </w:r>
            <w:proofErr w:type="spellStart"/>
            <w:r w:rsidRPr="004A0BE2">
              <w:t>Веймарн</w:t>
            </w:r>
            <w:proofErr w:type="spellEnd"/>
            <w:r w:rsidRPr="004A0BE2">
              <w:t xml:space="preserve">-тяговая </w:t>
            </w:r>
            <w:r w:rsidRPr="004A0BE2">
              <w:rPr>
                <w:lang w:val="en-US"/>
              </w:rPr>
              <w:t>I</w:t>
            </w:r>
            <w:r w:rsidRPr="004A0BE2">
              <w:t xml:space="preserve"> цепь;</w:t>
            </w:r>
          </w:p>
          <w:p w:rsidR="004A0BE2" w:rsidRPr="004A0BE2" w:rsidRDefault="004A0BE2" w:rsidP="004A0BE2">
            <w:r w:rsidRPr="004A0BE2">
              <w:t xml:space="preserve">На выходе шлейфов из аппаратных зажимов заземляющих ножей линии в сторону ОПН 110 КВЛ 110 </w:t>
            </w:r>
            <w:proofErr w:type="spellStart"/>
            <w:r w:rsidRPr="004A0BE2">
              <w:t>кВ</w:t>
            </w:r>
            <w:proofErr w:type="spellEnd"/>
            <w:r w:rsidRPr="004A0BE2">
              <w:t xml:space="preserve"> </w:t>
            </w:r>
            <w:proofErr w:type="spellStart"/>
            <w:r w:rsidRPr="004A0BE2">
              <w:t>Кингисеппская</w:t>
            </w:r>
            <w:proofErr w:type="spellEnd"/>
            <w:r w:rsidRPr="004A0BE2">
              <w:t>-</w:t>
            </w:r>
            <w:proofErr w:type="spellStart"/>
            <w:r w:rsidRPr="004A0BE2">
              <w:t>Веймарн</w:t>
            </w:r>
            <w:proofErr w:type="spellEnd"/>
            <w:r w:rsidRPr="004A0BE2">
              <w:t xml:space="preserve">-тяговая </w:t>
            </w:r>
            <w:r w:rsidRPr="004A0BE2">
              <w:rPr>
                <w:lang w:val="en-US"/>
              </w:rPr>
              <w:t>I</w:t>
            </w:r>
            <w:r w:rsidRPr="004A0BE2">
              <w:t xml:space="preserve"> цепь;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2" w:rsidRPr="004A0BE2" w:rsidRDefault="004A0BE2" w:rsidP="004A0BE2">
            <w:pPr>
              <w:jc w:val="center"/>
            </w:pPr>
            <w:r w:rsidRPr="004A0BE2">
              <w:t> </w:t>
            </w:r>
          </w:p>
        </w:tc>
      </w:tr>
      <w:tr w:rsidR="004A0BE2" w:rsidRPr="004A0BE2" w:rsidTr="00483F6A">
        <w:trPr>
          <w:trHeight w:val="7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2" w:rsidRPr="004A0BE2" w:rsidRDefault="004A0BE2" w:rsidP="004A0BE2">
            <w:pPr>
              <w:jc w:val="center"/>
            </w:pPr>
            <w:r w:rsidRPr="004A0BE2">
              <w:t>139.2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2" w:rsidRPr="004A0BE2" w:rsidRDefault="004A0BE2" w:rsidP="004A0BE2">
            <w:r w:rsidRPr="004A0BE2">
              <w:t xml:space="preserve">ПС 330 </w:t>
            </w:r>
            <w:proofErr w:type="spellStart"/>
            <w:r w:rsidRPr="004A0BE2">
              <w:t>кВ</w:t>
            </w:r>
            <w:proofErr w:type="spellEnd"/>
            <w:r w:rsidRPr="004A0BE2">
              <w:t xml:space="preserve"> </w:t>
            </w:r>
            <w:proofErr w:type="spellStart"/>
            <w:r w:rsidRPr="004A0BE2">
              <w:t>Кингисеппская</w:t>
            </w:r>
            <w:proofErr w:type="spellEnd"/>
            <w:r w:rsidRPr="004A0BE2">
              <w:t xml:space="preserve"> 330/110/10 </w:t>
            </w:r>
            <w:proofErr w:type="spellStart"/>
            <w:r w:rsidRPr="004A0BE2">
              <w:t>кВ</w:t>
            </w:r>
            <w:proofErr w:type="spellEnd"/>
            <w:r w:rsidRPr="004A0BE2">
              <w:t xml:space="preserve">, ОРУ 110 </w:t>
            </w:r>
            <w:proofErr w:type="spellStart"/>
            <w:r w:rsidRPr="004A0BE2">
              <w:t>кВ</w:t>
            </w:r>
            <w:proofErr w:type="spellEnd"/>
            <w:r w:rsidRPr="004A0BE2">
              <w:t xml:space="preserve">, </w:t>
            </w:r>
            <w:proofErr w:type="spellStart"/>
            <w:r w:rsidRPr="004A0BE2">
              <w:t>ячейкаКВЛ</w:t>
            </w:r>
            <w:proofErr w:type="spellEnd"/>
            <w:r w:rsidRPr="004A0BE2">
              <w:t xml:space="preserve"> 110 </w:t>
            </w:r>
            <w:proofErr w:type="spellStart"/>
            <w:r w:rsidRPr="004A0BE2">
              <w:t>кВ</w:t>
            </w:r>
            <w:proofErr w:type="spellEnd"/>
            <w:r w:rsidRPr="004A0BE2">
              <w:t xml:space="preserve"> </w:t>
            </w:r>
            <w:proofErr w:type="spellStart"/>
            <w:r w:rsidRPr="004A0BE2">
              <w:t>Кингисеппская</w:t>
            </w:r>
            <w:proofErr w:type="spellEnd"/>
            <w:r w:rsidRPr="004A0BE2">
              <w:t xml:space="preserve"> </w:t>
            </w:r>
            <w:proofErr w:type="gramStart"/>
            <w:r w:rsidRPr="004A0BE2">
              <w:t>–</w:t>
            </w:r>
            <w:proofErr w:type="spellStart"/>
            <w:r w:rsidRPr="004A0BE2">
              <w:t>В</w:t>
            </w:r>
            <w:proofErr w:type="gramEnd"/>
            <w:r w:rsidRPr="004A0BE2">
              <w:t>еймарн</w:t>
            </w:r>
            <w:proofErr w:type="spellEnd"/>
            <w:r w:rsidRPr="004A0BE2">
              <w:t xml:space="preserve">-тяговая </w:t>
            </w:r>
            <w:r w:rsidRPr="004A0BE2">
              <w:rPr>
                <w:lang w:val="en-US"/>
              </w:rPr>
              <w:t>II</w:t>
            </w:r>
            <w:r w:rsidRPr="004A0BE2">
              <w:t xml:space="preserve"> цепь;</w:t>
            </w:r>
          </w:p>
          <w:p w:rsidR="004A0BE2" w:rsidRPr="004A0BE2" w:rsidRDefault="004A0BE2" w:rsidP="004A0BE2">
            <w:r w:rsidRPr="004A0BE2">
              <w:t xml:space="preserve">На выходе шлейфов из аппаратных зажимов заземляющих ножей линии в сторону ОПН 110 КВЛ 110 </w:t>
            </w:r>
            <w:proofErr w:type="spellStart"/>
            <w:r w:rsidRPr="004A0BE2">
              <w:t>кВ</w:t>
            </w:r>
            <w:proofErr w:type="spellEnd"/>
            <w:r w:rsidRPr="004A0BE2">
              <w:t xml:space="preserve"> </w:t>
            </w:r>
            <w:proofErr w:type="spellStart"/>
            <w:r w:rsidRPr="004A0BE2">
              <w:t>Кингисеппская</w:t>
            </w:r>
            <w:proofErr w:type="spellEnd"/>
            <w:r w:rsidRPr="004A0BE2">
              <w:t>-</w:t>
            </w:r>
            <w:proofErr w:type="spellStart"/>
            <w:r w:rsidRPr="004A0BE2">
              <w:t>Веймарн</w:t>
            </w:r>
            <w:proofErr w:type="spellEnd"/>
            <w:r w:rsidRPr="004A0BE2">
              <w:t xml:space="preserve">-тяговая </w:t>
            </w:r>
            <w:r w:rsidRPr="004A0BE2">
              <w:rPr>
                <w:lang w:val="en-US"/>
              </w:rPr>
              <w:t>II</w:t>
            </w:r>
            <w:r w:rsidRPr="004A0BE2">
              <w:t xml:space="preserve"> цепь;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2" w:rsidRPr="004A0BE2" w:rsidRDefault="004A0BE2" w:rsidP="004A0BE2">
            <w:pPr>
              <w:jc w:val="center"/>
            </w:pPr>
          </w:p>
        </w:tc>
      </w:tr>
    </w:tbl>
    <w:p w:rsidR="004A0BE2" w:rsidRDefault="004A0BE2" w:rsidP="004A0BE2">
      <w:pPr>
        <w:ind w:firstLine="708"/>
        <w:jc w:val="right"/>
        <w:rPr>
          <w:sz w:val="24"/>
          <w:szCs w:val="24"/>
        </w:rPr>
      </w:pPr>
      <w:r w:rsidRPr="004A0BE2">
        <w:rPr>
          <w:sz w:val="24"/>
          <w:szCs w:val="24"/>
        </w:rPr>
        <w:t>».</w:t>
      </w:r>
    </w:p>
    <w:p w:rsidR="004A0BE2" w:rsidRPr="004A0BE2" w:rsidRDefault="004A0BE2" w:rsidP="004A0BE2">
      <w:pPr>
        <w:ind w:firstLine="708"/>
        <w:jc w:val="both"/>
        <w:rPr>
          <w:sz w:val="28"/>
          <w:szCs w:val="28"/>
        </w:rPr>
      </w:pPr>
      <w:r w:rsidRPr="004A0BE2">
        <w:rPr>
          <w:sz w:val="28"/>
          <w:szCs w:val="28"/>
        </w:rPr>
        <w:t>2. Границы зоны деятельности гарантирующего поставщика общества с ограниченной ответственностью «РУСЭНЕРГОСБЫТ» уточнены с даты вступления настоящего приказа в силу, но не ранее даты выполнения обществом с ограниченной ответственностью «РУСЭНЕРГОСБЫТ» требований Правил оптового рынка для осуществления торговли электрической энергией и мощностью в измененных группах точек поставки на оптовом рынке.</w:t>
      </w:r>
    </w:p>
    <w:p w:rsidR="004A0BE2" w:rsidRPr="004A0BE2" w:rsidRDefault="004A0BE2" w:rsidP="004A0BE2">
      <w:pPr>
        <w:tabs>
          <w:tab w:val="left" w:pos="1134"/>
        </w:tabs>
        <w:rPr>
          <w:sz w:val="26"/>
          <w:szCs w:val="26"/>
        </w:rPr>
      </w:pPr>
    </w:p>
    <w:p w:rsidR="004A0BE2" w:rsidRDefault="004A0BE2" w:rsidP="004A0BE2">
      <w:pPr>
        <w:ind w:right="-144"/>
        <w:jc w:val="center"/>
        <w:rPr>
          <w:b/>
          <w:sz w:val="26"/>
          <w:szCs w:val="26"/>
        </w:rPr>
      </w:pPr>
      <w:r w:rsidRPr="004A0BE2">
        <w:rPr>
          <w:b/>
          <w:sz w:val="26"/>
          <w:szCs w:val="26"/>
        </w:rPr>
        <w:t>Результаты голосования: за – 7 человек, против – нет, воздержались – нет.</w:t>
      </w:r>
    </w:p>
    <w:p w:rsidR="004A0BE2" w:rsidRPr="004A0BE2" w:rsidRDefault="004A0BE2" w:rsidP="004A0BE2">
      <w:pPr>
        <w:ind w:right="-144"/>
        <w:jc w:val="center"/>
        <w:rPr>
          <w:b/>
          <w:sz w:val="26"/>
          <w:szCs w:val="26"/>
        </w:rPr>
      </w:pPr>
    </w:p>
    <w:p w:rsidR="004A0BE2" w:rsidRPr="004A0BE2" w:rsidRDefault="004A0BE2" w:rsidP="004A0BE2">
      <w:pPr>
        <w:ind w:firstLine="709"/>
        <w:contextualSpacing/>
        <w:jc w:val="both"/>
        <w:rPr>
          <w:sz w:val="28"/>
          <w:szCs w:val="28"/>
        </w:rPr>
      </w:pPr>
      <w:r w:rsidRPr="004A0BE2">
        <w:rPr>
          <w:b/>
          <w:sz w:val="28"/>
          <w:szCs w:val="28"/>
        </w:rPr>
        <w:t xml:space="preserve">2. </w:t>
      </w:r>
      <w:proofErr w:type="gramStart"/>
      <w:r w:rsidRPr="004A0BE2">
        <w:rPr>
          <w:b/>
          <w:sz w:val="28"/>
          <w:szCs w:val="28"/>
        </w:rPr>
        <w:t>По вопросу повестки «</w:t>
      </w:r>
      <w:r w:rsidRPr="004A0BE2">
        <w:rPr>
          <w:b/>
          <w:bCs/>
          <w:sz w:val="28"/>
          <w:szCs w:val="28"/>
        </w:rPr>
        <w:t xml:space="preserve">О внесении изменений в приказ комитета по тарифам и ценовой политике Ленинградской области от 19 декабря 2017 года </w:t>
      </w:r>
      <w:r>
        <w:rPr>
          <w:b/>
          <w:bCs/>
          <w:sz w:val="28"/>
          <w:szCs w:val="28"/>
        </w:rPr>
        <w:br/>
      </w:r>
      <w:r w:rsidRPr="004A0BE2">
        <w:rPr>
          <w:b/>
          <w:bCs/>
          <w:sz w:val="28"/>
          <w:szCs w:val="28"/>
        </w:rPr>
        <w:t>№ 585-п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2018 году</w:t>
      </w:r>
      <w:r w:rsidRPr="004A0BE2">
        <w:rPr>
          <w:b/>
          <w:sz w:val="28"/>
          <w:szCs w:val="28"/>
        </w:rPr>
        <w:t xml:space="preserve">» </w:t>
      </w:r>
      <w:r w:rsidRPr="004A0BE2">
        <w:rPr>
          <w:sz w:val="28"/>
          <w:szCs w:val="28"/>
        </w:rPr>
        <w:t>выступила начальник отдела</w:t>
      </w:r>
      <w:proofErr w:type="gramEnd"/>
      <w:r w:rsidRPr="004A0BE2">
        <w:rPr>
          <w:sz w:val="28"/>
          <w:szCs w:val="28"/>
        </w:rPr>
        <w:t xml:space="preserve">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 </w:t>
      </w:r>
      <w:proofErr w:type="gramStart"/>
      <w:r w:rsidRPr="004A0BE2">
        <w:rPr>
          <w:sz w:val="28"/>
          <w:szCs w:val="28"/>
        </w:rPr>
        <w:t>С. А.</w:t>
      </w:r>
      <w:proofErr w:type="gramEnd"/>
      <w:r w:rsidRPr="004A0BE2">
        <w:rPr>
          <w:sz w:val="28"/>
          <w:szCs w:val="28"/>
        </w:rPr>
        <w:t>, сообщила, что МУП «</w:t>
      </w:r>
      <w:proofErr w:type="spellStart"/>
      <w:r w:rsidRPr="004A0BE2">
        <w:rPr>
          <w:sz w:val="28"/>
          <w:szCs w:val="28"/>
        </w:rPr>
        <w:t>Бугровские</w:t>
      </w:r>
      <w:proofErr w:type="spellEnd"/>
      <w:r w:rsidRPr="004A0BE2">
        <w:rPr>
          <w:sz w:val="28"/>
          <w:szCs w:val="28"/>
        </w:rPr>
        <w:t xml:space="preserve"> тепловые сети» обратилось в комитет по тарифам и ценовой политике Ленинградской области с заявлением об установлении тарифов в сфере теплоснабжения (</w:t>
      </w:r>
      <w:proofErr w:type="spellStart"/>
      <w:r w:rsidRPr="004A0BE2">
        <w:rPr>
          <w:sz w:val="28"/>
          <w:szCs w:val="28"/>
        </w:rPr>
        <w:t>вх</w:t>
      </w:r>
      <w:proofErr w:type="spellEnd"/>
      <w:r w:rsidRPr="004A0BE2">
        <w:rPr>
          <w:sz w:val="28"/>
          <w:szCs w:val="28"/>
        </w:rPr>
        <w:t xml:space="preserve">. ЛенРТК № КТ-1-4039/2018 от 13.07.2018) для оказания услуги по горячему водоснабжению в жилых домах, оборудованных индивидуальными тепловыми пунктами. </w:t>
      </w:r>
    </w:p>
    <w:p w:rsidR="004A0BE2" w:rsidRPr="004A0BE2" w:rsidRDefault="004A0BE2" w:rsidP="004A0BE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A0BE2">
        <w:rPr>
          <w:sz w:val="28"/>
          <w:szCs w:val="28"/>
        </w:rPr>
        <w:t>В связи с этим необходимо внести изменение в приказ комитета по тарифам и ценовой политике Ленинградской области от 19 декабря 2017 года № 585-п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2018 году».</w:t>
      </w:r>
      <w:proofErr w:type="gramEnd"/>
    </w:p>
    <w:p w:rsidR="004A0BE2" w:rsidRPr="004A0BE2" w:rsidRDefault="004A0BE2" w:rsidP="004A0BE2">
      <w:pPr>
        <w:ind w:firstLine="709"/>
        <w:contextualSpacing/>
        <w:jc w:val="both"/>
        <w:rPr>
          <w:sz w:val="28"/>
          <w:szCs w:val="28"/>
        </w:rPr>
      </w:pPr>
    </w:p>
    <w:p w:rsidR="004A0BE2" w:rsidRDefault="004A0BE2" w:rsidP="004A0BE2">
      <w:pPr>
        <w:ind w:left="-142" w:firstLine="851"/>
        <w:contextualSpacing/>
        <w:jc w:val="both"/>
        <w:rPr>
          <w:b/>
          <w:sz w:val="28"/>
          <w:szCs w:val="28"/>
        </w:rPr>
      </w:pPr>
      <w:r w:rsidRPr="004A0BE2">
        <w:rPr>
          <w:b/>
          <w:sz w:val="28"/>
          <w:szCs w:val="28"/>
        </w:rPr>
        <w:t xml:space="preserve">Правление приняло решение:  </w:t>
      </w:r>
    </w:p>
    <w:p w:rsidR="004A0BE2" w:rsidRPr="004A0BE2" w:rsidRDefault="004A0BE2" w:rsidP="004A0BE2">
      <w:pPr>
        <w:ind w:left="-142" w:firstLine="851"/>
        <w:contextualSpacing/>
        <w:jc w:val="both"/>
        <w:rPr>
          <w:b/>
          <w:sz w:val="28"/>
          <w:szCs w:val="28"/>
        </w:rPr>
      </w:pPr>
    </w:p>
    <w:p w:rsidR="004A0BE2" w:rsidRDefault="004A0BE2" w:rsidP="004A0BE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4A0BE2">
        <w:rPr>
          <w:sz w:val="28"/>
          <w:szCs w:val="28"/>
          <w:lang w:eastAsia="en-US"/>
        </w:rPr>
        <w:t>Внести изменение в приказ комитета по тарифам и ценовой политике Ленинградской области от 19 декабря 2017 года № 585-п «Об установлении тарифов на 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 2018 году», добавив в приложение 2 пункт следующего содержания:</w:t>
      </w:r>
      <w:proofErr w:type="gramEnd"/>
    </w:p>
    <w:p w:rsidR="004A0BE2" w:rsidRPr="004A0BE2" w:rsidRDefault="004A0BE2" w:rsidP="004A0BE2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4A0BE2" w:rsidRPr="004A0BE2" w:rsidRDefault="004A0BE2" w:rsidP="004A0BE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4A0BE2">
        <w:rPr>
          <w:sz w:val="28"/>
          <w:szCs w:val="28"/>
          <w:lang w:eastAsia="en-US"/>
        </w:rPr>
        <w:t>«</w:t>
      </w:r>
    </w:p>
    <w:tbl>
      <w:tblPr>
        <w:tblW w:w="102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833"/>
        <w:gridCol w:w="1558"/>
        <w:gridCol w:w="992"/>
        <w:gridCol w:w="708"/>
        <w:gridCol w:w="709"/>
        <w:gridCol w:w="709"/>
        <w:gridCol w:w="850"/>
        <w:gridCol w:w="1133"/>
      </w:tblGrid>
      <w:tr w:rsidR="004A0BE2" w:rsidRPr="004A0BE2" w:rsidTr="00483F6A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BE2" w:rsidRPr="004A0BE2" w:rsidRDefault="004A0BE2" w:rsidP="004A0BE2">
            <w:pPr>
              <w:contextualSpacing/>
              <w:jc w:val="center"/>
              <w:rPr>
                <w:b/>
              </w:rPr>
            </w:pPr>
            <w:r w:rsidRPr="004A0BE2">
              <w:rPr>
                <w:b/>
              </w:rPr>
              <w:t>27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E2" w:rsidRPr="004A0BE2" w:rsidRDefault="004A0BE2" w:rsidP="004A0BE2">
            <w:pPr>
              <w:contextualSpacing/>
              <w:jc w:val="center"/>
              <w:rPr>
                <w:b/>
                <w:bCs/>
              </w:rPr>
            </w:pPr>
            <w:r w:rsidRPr="004A0BE2">
              <w:rPr>
                <w:b/>
                <w:bCs/>
              </w:rPr>
              <w:t>В зоне теплоснабжения муниципального унитарного предприятия «</w:t>
            </w:r>
            <w:proofErr w:type="spellStart"/>
            <w:r w:rsidRPr="004A0BE2">
              <w:rPr>
                <w:b/>
                <w:bCs/>
              </w:rPr>
              <w:t>Бугровские</w:t>
            </w:r>
            <w:proofErr w:type="spellEnd"/>
            <w:r w:rsidRPr="004A0BE2">
              <w:rPr>
                <w:b/>
                <w:bCs/>
              </w:rPr>
              <w:t xml:space="preserve"> тепловые сети»</w:t>
            </w:r>
          </w:p>
        </w:tc>
      </w:tr>
      <w:tr w:rsidR="004A0BE2" w:rsidRPr="004A0BE2" w:rsidTr="00483F6A">
        <w:trPr>
          <w:trHeight w:val="756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BE2" w:rsidRPr="004A0BE2" w:rsidRDefault="004A0BE2" w:rsidP="004A0BE2">
            <w:pPr>
              <w:contextualSpacing/>
              <w:jc w:val="center"/>
            </w:pPr>
            <w:r w:rsidRPr="004A0BE2">
              <w:t>27.1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BE2" w:rsidRPr="004A0BE2" w:rsidRDefault="004A0BE2" w:rsidP="004A0BE2">
            <w:pPr>
              <w:contextualSpacing/>
              <w:jc w:val="both"/>
            </w:pPr>
            <w:hyperlink r:id="rId6" w:anchor="RANGE!P236" w:history="1">
              <w:r w:rsidRPr="004A0BE2">
                <w:t>Для населения, организаций, приобретающих тепловую энергию для предоставления коммунальных услуг населению, муниципального образования «</w:t>
              </w:r>
              <w:proofErr w:type="spellStart"/>
              <w:r w:rsidRPr="004A0BE2">
                <w:t>Бугровское</w:t>
              </w:r>
              <w:proofErr w:type="spellEnd"/>
              <w:r w:rsidRPr="004A0BE2">
                <w:t xml:space="preserve"> сельское поселение» Всеволожского муниципального района Ленинградской области  (тарифы указываются с учетом НДС) &lt;*&gt;</w:t>
              </w:r>
            </w:hyperlink>
          </w:p>
        </w:tc>
      </w:tr>
      <w:tr w:rsidR="004A0BE2" w:rsidRPr="004A0BE2" w:rsidTr="00483F6A">
        <w:trPr>
          <w:trHeight w:val="1229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BE2" w:rsidRPr="004A0BE2" w:rsidRDefault="004A0BE2" w:rsidP="004A0BE2">
            <w:pPr>
              <w:contextualSpacing/>
              <w:jc w:val="center"/>
            </w:pPr>
            <w:r w:rsidRPr="004A0BE2">
              <w:t>27.1.1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0BE2" w:rsidRPr="004A0BE2" w:rsidRDefault="004A0BE2" w:rsidP="004A0BE2">
            <w:pPr>
              <w:contextualSpacing/>
            </w:pPr>
            <w:proofErr w:type="spellStart"/>
            <w:r w:rsidRPr="004A0BE2">
              <w:t>Одноставочный</w:t>
            </w:r>
            <w:proofErr w:type="spellEnd"/>
            <w:r w:rsidRPr="004A0BE2">
              <w:t xml:space="preserve">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BE2" w:rsidRPr="004A0BE2" w:rsidRDefault="004A0BE2" w:rsidP="004A0BE2">
            <w:pPr>
              <w:ind w:left="-108" w:right="-108"/>
              <w:contextualSpacing/>
              <w:jc w:val="center"/>
            </w:pPr>
            <w:r w:rsidRPr="004A0BE2">
              <w:t>со дня вступления в силу настоящего приказа по 31.12.2018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0BE2" w:rsidRPr="004A0BE2" w:rsidRDefault="004A0BE2" w:rsidP="004A0BE2">
            <w:pPr>
              <w:contextualSpacing/>
              <w:jc w:val="center"/>
            </w:pPr>
            <w:r w:rsidRPr="004A0BE2">
              <w:t>1416,07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BE2" w:rsidRPr="004A0BE2" w:rsidRDefault="004A0BE2" w:rsidP="004A0BE2">
            <w:pPr>
              <w:contextualSpacing/>
              <w:jc w:val="center"/>
            </w:pPr>
            <w:r w:rsidRPr="004A0BE2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BE2" w:rsidRPr="004A0BE2" w:rsidRDefault="004A0BE2" w:rsidP="004A0BE2">
            <w:pPr>
              <w:contextualSpacing/>
              <w:jc w:val="center"/>
            </w:pPr>
            <w:r w:rsidRPr="004A0BE2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BE2" w:rsidRPr="004A0BE2" w:rsidRDefault="004A0BE2" w:rsidP="004A0BE2">
            <w:pPr>
              <w:contextualSpacing/>
              <w:jc w:val="center"/>
            </w:pPr>
            <w:r w:rsidRPr="004A0BE2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BE2" w:rsidRPr="004A0BE2" w:rsidRDefault="004A0BE2" w:rsidP="004A0BE2">
            <w:pPr>
              <w:contextualSpacing/>
              <w:jc w:val="center"/>
            </w:pPr>
            <w:r w:rsidRPr="004A0BE2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BE2" w:rsidRPr="004A0BE2" w:rsidRDefault="004A0BE2" w:rsidP="004A0BE2">
            <w:pPr>
              <w:contextualSpacing/>
              <w:jc w:val="center"/>
            </w:pPr>
            <w:r w:rsidRPr="004A0BE2">
              <w:t>-</w:t>
            </w:r>
          </w:p>
        </w:tc>
      </w:tr>
    </w:tbl>
    <w:p w:rsidR="004A0BE2" w:rsidRPr="004A0BE2" w:rsidRDefault="004A0BE2" w:rsidP="004A0BE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contextualSpacing/>
        <w:jc w:val="right"/>
        <w:rPr>
          <w:sz w:val="28"/>
          <w:szCs w:val="28"/>
          <w:lang w:eastAsia="en-US"/>
        </w:rPr>
      </w:pPr>
      <w:r w:rsidRPr="004A0BE2">
        <w:rPr>
          <w:sz w:val="28"/>
          <w:szCs w:val="28"/>
          <w:lang w:eastAsia="en-US"/>
        </w:rPr>
        <w:t>».</w:t>
      </w:r>
    </w:p>
    <w:p w:rsidR="004A0BE2" w:rsidRDefault="004A0BE2" w:rsidP="004A0BE2">
      <w:pPr>
        <w:ind w:firstLine="709"/>
        <w:contextualSpacing/>
        <w:jc w:val="both"/>
        <w:rPr>
          <w:sz w:val="24"/>
          <w:szCs w:val="24"/>
        </w:rPr>
      </w:pPr>
    </w:p>
    <w:p w:rsidR="004A0BE2" w:rsidRDefault="004A0BE2" w:rsidP="004A0BE2">
      <w:pPr>
        <w:ind w:firstLine="709"/>
        <w:contextualSpacing/>
        <w:jc w:val="both"/>
        <w:rPr>
          <w:sz w:val="24"/>
          <w:szCs w:val="24"/>
        </w:rPr>
      </w:pPr>
    </w:p>
    <w:p w:rsidR="004A0BE2" w:rsidRPr="004A0BE2" w:rsidRDefault="004A0BE2" w:rsidP="004A0BE2">
      <w:pPr>
        <w:ind w:left="-142" w:right="-144"/>
        <w:contextualSpacing/>
        <w:jc w:val="center"/>
        <w:rPr>
          <w:b/>
          <w:sz w:val="28"/>
          <w:szCs w:val="28"/>
        </w:rPr>
      </w:pPr>
      <w:r w:rsidRPr="004A0BE2">
        <w:rPr>
          <w:b/>
          <w:sz w:val="28"/>
          <w:szCs w:val="28"/>
        </w:rPr>
        <w:t>Результаты голосования: за – 7 человек, против – нет, воздержались – нет.</w:t>
      </w: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05462F" w:rsidRPr="009F7D64" w:rsidRDefault="0005462F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43705A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11C"/>
    <w:multiLevelType w:val="multilevel"/>
    <w:tmpl w:val="A2E491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5462F"/>
    <w:rsid w:val="0015227D"/>
    <w:rsid w:val="001620E2"/>
    <w:rsid w:val="002627EB"/>
    <w:rsid w:val="003B6B87"/>
    <w:rsid w:val="003C3D4D"/>
    <w:rsid w:val="0043705A"/>
    <w:rsid w:val="004A0BE2"/>
    <w:rsid w:val="005A40CD"/>
    <w:rsid w:val="007057F1"/>
    <w:rsid w:val="007244AB"/>
    <w:rsid w:val="007753ED"/>
    <w:rsid w:val="0084613E"/>
    <w:rsid w:val="00894DB5"/>
    <w:rsid w:val="00932E36"/>
    <w:rsid w:val="009A63CA"/>
    <w:rsid w:val="00A34C6B"/>
    <w:rsid w:val="00BD37E4"/>
    <w:rsid w:val="00DA6AB1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s_ershova\AppData\Local\Microsoft\Windows\Temporary%20Internet%20Files\Content.MSO\6DAF6938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21</cp:revision>
  <cp:lastPrinted>2018-07-18T10:20:00Z</cp:lastPrinted>
  <dcterms:created xsi:type="dcterms:W3CDTF">2014-10-27T07:45:00Z</dcterms:created>
  <dcterms:modified xsi:type="dcterms:W3CDTF">2018-07-18T10:21:00Z</dcterms:modified>
</cp:coreProperties>
</file>