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8C6334">
        <w:rPr>
          <w:b/>
          <w:color w:val="000000"/>
          <w:sz w:val="24"/>
          <w:szCs w:val="24"/>
        </w:rPr>
        <w:t>7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8C6334" w:rsidP="007057F1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="007057F1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7057F1">
        <w:rPr>
          <w:sz w:val="24"/>
          <w:szCs w:val="24"/>
        </w:rPr>
        <w:t xml:space="preserve"> года                                                                          </w:t>
      </w:r>
      <w:r>
        <w:rPr>
          <w:sz w:val="24"/>
          <w:szCs w:val="24"/>
        </w:rPr>
        <w:t xml:space="preserve">     </w:t>
      </w:r>
      <w:r w:rsidR="007057F1">
        <w:rPr>
          <w:sz w:val="24"/>
          <w:szCs w:val="24"/>
        </w:rPr>
        <w:t xml:space="preserve">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7057F1">
        <w:rPr>
          <w:sz w:val="24"/>
          <w:szCs w:val="24"/>
        </w:rPr>
        <w:t xml:space="preserve">Свиридова Татьяна Львовна, </w:t>
      </w:r>
      <w:r w:rsidR="00932E36">
        <w:rPr>
          <w:sz w:val="24"/>
          <w:szCs w:val="24"/>
        </w:rPr>
        <w:t xml:space="preserve">Чащихина Светлана Георгиевна,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3C3D4D">
        <w:rPr>
          <w:sz w:val="24"/>
          <w:szCs w:val="24"/>
        </w:rPr>
        <w:t>Зороян Сурен Георгиевич</w:t>
      </w:r>
      <w:r w:rsidR="0084613E">
        <w:rPr>
          <w:sz w:val="24"/>
          <w:szCs w:val="24"/>
        </w:rPr>
        <w:t>, Кремнева Наталья Николаевна</w:t>
      </w:r>
      <w:r w:rsidR="00932E36">
        <w:rPr>
          <w:sz w:val="24"/>
          <w:szCs w:val="24"/>
        </w:rPr>
        <w:t>,</w:t>
      </w:r>
      <w:r w:rsidR="00932E36" w:rsidRPr="009F7D64">
        <w:rPr>
          <w:sz w:val="24"/>
          <w:szCs w:val="24"/>
        </w:rPr>
        <w:t xml:space="preserve"> </w:t>
      </w:r>
      <w:r w:rsidR="0084613E">
        <w:rPr>
          <w:sz w:val="24"/>
          <w:szCs w:val="24"/>
        </w:rPr>
        <w:t>Курылко Светлана Анатольевна.</w:t>
      </w:r>
    </w:p>
    <w:p w:rsidR="00BD37E4" w:rsidRPr="00912606" w:rsidRDefault="00BD37E4" w:rsidP="008C6334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</w:p>
    <w:p w:rsidR="00A34C6B" w:rsidRDefault="00A34C6B" w:rsidP="008C6334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8C6334" w:rsidRPr="008C6334" w:rsidRDefault="008C6334" w:rsidP="008C6334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C6334">
        <w:rPr>
          <w:sz w:val="24"/>
          <w:szCs w:val="24"/>
        </w:rPr>
        <w:t>Об установлении тарифов за подключение (технологическое присоединение) к централизованной системе холодного водоснабжения общества с ограниченной ответственностью «</w:t>
      </w:r>
      <w:proofErr w:type="spellStart"/>
      <w:r w:rsidRPr="008C6334">
        <w:rPr>
          <w:sz w:val="24"/>
          <w:szCs w:val="24"/>
        </w:rPr>
        <w:t>Ивангородский</w:t>
      </w:r>
      <w:proofErr w:type="spellEnd"/>
      <w:r w:rsidRPr="008C6334">
        <w:rPr>
          <w:sz w:val="24"/>
          <w:szCs w:val="24"/>
        </w:rPr>
        <w:t xml:space="preserve"> водоканал» объектов заявителей на территории муниципального образования «Город Ивангород» </w:t>
      </w:r>
      <w:proofErr w:type="spellStart"/>
      <w:r w:rsidRPr="008C6334">
        <w:rPr>
          <w:sz w:val="24"/>
          <w:szCs w:val="24"/>
        </w:rPr>
        <w:t>Кингисеппского</w:t>
      </w:r>
      <w:proofErr w:type="spellEnd"/>
      <w:r w:rsidRPr="008C6334">
        <w:rPr>
          <w:sz w:val="24"/>
          <w:szCs w:val="24"/>
        </w:rPr>
        <w:t xml:space="preserve"> муниципального района Ленинградской области на 2019 год.</w:t>
      </w:r>
    </w:p>
    <w:p w:rsidR="008C6334" w:rsidRPr="008C6334" w:rsidRDefault="008C6334" w:rsidP="008C6334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C6334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09 декабря 2016 года № 243-п «Об установлении долгосрочных параметров регулирования деятельности, тарифов на тепловую энергию и горячую воду, поставляемые обществом с ограниченной ответственностью «МИР ТЕХНИКИ» потребителям на территории Ленинградской области, на долгосрочный период регулирования 2017-2019 годов».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174CD6" w:rsidRPr="00174CD6" w:rsidRDefault="00174CD6" w:rsidP="00174CD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gramStart"/>
      <w:r w:rsidRPr="00174CD6">
        <w:rPr>
          <w:b/>
          <w:sz w:val="24"/>
          <w:szCs w:val="24"/>
        </w:rPr>
        <w:t>По вопросу повестки «Об установлении тарифов за подключение (технологическое присоединение) к централизованной системе холодного водоснабжения общества с ограниченной ответственностью «</w:t>
      </w:r>
      <w:proofErr w:type="spellStart"/>
      <w:r w:rsidRPr="00174CD6">
        <w:rPr>
          <w:b/>
          <w:sz w:val="24"/>
          <w:szCs w:val="24"/>
        </w:rPr>
        <w:t>Ивангородский</w:t>
      </w:r>
      <w:proofErr w:type="spellEnd"/>
      <w:r w:rsidRPr="00174CD6">
        <w:rPr>
          <w:b/>
          <w:sz w:val="24"/>
          <w:szCs w:val="24"/>
        </w:rPr>
        <w:t xml:space="preserve"> водоканал» объектов заявителей на территории муниципального образования «Город Ивангород» </w:t>
      </w:r>
      <w:proofErr w:type="spellStart"/>
      <w:r w:rsidRPr="00174CD6">
        <w:rPr>
          <w:b/>
          <w:sz w:val="24"/>
          <w:szCs w:val="24"/>
        </w:rPr>
        <w:t>Кингисеппского</w:t>
      </w:r>
      <w:proofErr w:type="spellEnd"/>
      <w:r w:rsidRPr="00174CD6">
        <w:rPr>
          <w:b/>
          <w:sz w:val="24"/>
          <w:szCs w:val="24"/>
        </w:rPr>
        <w:t xml:space="preserve"> муниципального района Ленинградской области на 2019 год»</w:t>
      </w:r>
      <w:r w:rsidRPr="00174CD6">
        <w:rPr>
          <w:sz w:val="24"/>
          <w:szCs w:val="24"/>
        </w:rPr>
        <w:t xml:space="preserve"> </w:t>
      </w:r>
      <w:r w:rsidRPr="00174CD6">
        <w:rPr>
          <w:bCs/>
          <w:sz w:val="24"/>
          <w:szCs w:val="24"/>
        </w:rPr>
        <w:t>выступил</w:t>
      </w:r>
      <w:r w:rsidRPr="00174CD6">
        <w:rPr>
          <w:b/>
          <w:sz w:val="24"/>
          <w:szCs w:val="24"/>
        </w:rPr>
        <w:t xml:space="preserve"> </w:t>
      </w:r>
      <w:r w:rsidRPr="00174CD6">
        <w:rPr>
          <w:sz w:val="24"/>
          <w:szCs w:val="24"/>
        </w:rPr>
        <w:t>начальник отдела перспективного развития регулируемых организаций</w:t>
      </w:r>
      <w:r w:rsidRPr="00174CD6">
        <w:rPr>
          <w:b/>
          <w:sz w:val="24"/>
          <w:szCs w:val="24"/>
        </w:rPr>
        <w:t xml:space="preserve"> </w:t>
      </w:r>
      <w:r w:rsidRPr="00174CD6">
        <w:rPr>
          <w:bCs/>
          <w:sz w:val="24"/>
          <w:szCs w:val="24"/>
        </w:rPr>
        <w:t>комитета по тарифам и ценовой политике Ленинградской области Марков А.Е.</w:t>
      </w:r>
      <w:r w:rsidR="00043EB3">
        <w:rPr>
          <w:sz w:val="24"/>
          <w:szCs w:val="24"/>
        </w:rPr>
        <w:t>, изложил</w:t>
      </w:r>
      <w:r w:rsidRPr="00174CD6">
        <w:rPr>
          <w:sz w:val="24"/>
          <w:szCs w:val="24"/>
        </w:rPr>
        <w:t xml:space="preserve"> основные положения </w:t>
      </w:r>
      <w:r w:rsidRPr="00174CD6">
        <w:rPr>
          <w:snapToGrid w:val="0"/>
          <w:sz w:val="24"/>
          <w:szCs w:val="24"/>
        </w:rPr>
        <w:t>заключения по</w:t>
      </w:r>
      <w:proofErr w:type="gramEnd"/>
      <w:r w:rsidRPr="00174CD6">
        <w:rPr>
          <w:snapToGrid w:val="0"/>
          <w:sz w:val="24"/>
          <w:szCs w:val="24"/>
        </w:rPr>
        <w:t xml:space="preserve"> </w:t>
      </w:r>
      <w:proofErr w:type="gramStart"/>
      <w:r w:rsidRPr="00174CD6">
        <w:rPr>
          <w:snapToGrid w:val="0"/>
          <w:sz w:val="24"/>
          <w:szCs w:val="24"/>
        </w:rPr>
        <w:t xml:space="preserve">экономическому обоснованию размера тарифов на подключение (технологическое присоединение) к централизованной системе холодного водоснабжения государственного унитарного предприятия «Водоканал Ленинградской области» объектов капитального строительства заявителей, расположенных на территории муниципального образования «город Ивангород» </w:t>
      </w:r>
      <w:proofErr w:type="spellStart"/>
      <w:r w:rsidRPr="00174CD6">
        <w:rPr>
          <w:snapToGrid w:val="0"/>
          <w:sz w:val="24"/>
          <w:szCs w:val="24"/>
        </w:rPr>
        <w:t>Кингисеппского</w:t>
      </w:r>
      <w:proofErr w:type="spellEnd"/>
      <w:r w:rsidRPr="00174CD6">
        <w:rPr>
          <w:snapToGrid w:val="0"/>
          <w:sz w:val="24"/>
          <w:szCs w:val="24"/>
        </w:rPr>
        <w:t xml:space="preserve"> муниципального района Ленинградской области на 2019 год, </w:t>
      </w:r>
      <w:proofErr w:type="spellStart"/>
      <w:r w:rsidR="00AA0F73">
        <w:rPr>
          <w:snapToGrid w:val="0"/>
          <w:sz w:val="24"/>
          <w:szCs w:val="24"/>
        </w:rPr>
        <w:t>подготовлено</w:t>
      </w:r>
      <w:r w:rsidR="00542A99">
        <w:rPr>
          <w:snapToGrid w:val="0"/>
          <w:sz w:val="24"/>
          <w:szCs w:val="24"/>
        </w:rPr>
        <w:t>го</w:t>
      </w:r>
      <w:proofErr w:type="spellEnd"/>
      <w:r w:rsidR="00AA0F73">
        <w:rPr>
          <w:snapToGrid w:val="0"/>
          <w:sz w:val="24"/>
          <w:szCs w:val="24"/>
        </w:rPr>
        <w:t xml:space="preserve"> на основании обращ</w:t>
      </w:r>
      <w:r w:rsidRPr="00174CD6">
        <w:rPr>
          <w:sz w:val="24"/>
          <w:szCs w:val="24"/>
        </w:rPr>
        <w:t>ени</w:t>
      </w:r>
      <w:r w:rsidR="00AA0F73">
        <w:rPr>
          <w:sz w:val="24"/>
          <w:szCs w:val="24"/>
        </w:rPr>
        <w:t>я</w:t>
      </w:r>
      <w:r w:rsidRPr="00174CD6">
        <w:rPr>
          <w:sz w:val="24"/>
          <w:szCs w:val="24"/>
        </w:rPr>
        <w:t xml:space="preserve"> общества с ограниченной ответственностью «</w:t>
      </w:r>
      <w:proofErr w:type="spellStart"/>
      <w:r w:rsidRPr="00174CD6">
        <w:rPr>
          <w:sz w:val="24"/>
          <w:szCs w:val="24"/>
        </w:rPr>
        <w:t>Ивангородский</w:t>
      </w:r>
      <w:proofErr w:type="spellEnd"/>
      <w:r w:rsidRPr="00174CD6">
        <w:rPr>
          <w:sz w:val="24"/>
          <w:szCs w:val="24"/>
        </w:rPr>
        <w:t xml:space="preserve"> водоканал» (далее – ООО «</w:t>
      </w:r>
      <w:proofErr w:type="spellStart"/>
      <w:r w:rsidRPr="00174CD6">
        <w:rPr>
          <w:sz w:val="24"/>
          <w:szCs w:val="24"/>
        </w:rPr>
        <w:t>Ивангородский</w:t>
      </w:r>
      <w:proofErr w:type="spellEnd"/>
      <w:r w:rsidRPr="00174CD6">
        <w:rPr>
          <w:sz w:val="24"/>
          <w:szCs w:val="24"/>
        </w:rPr>
        <w:t xml:space="preserve"> водоканал») </w:t>
      </w:r>
      <w:proofErr w:type="spellStart"/>
      <w:r w:rsidRPr="00174CD6">
        <w:rPr>
          <w:sz w:val="24"/>
          <w:szCs w:val="24"/>
        </w:rPr>
        <w:t>вх</w:t>
      </w:r>
      <w:proofErr w:type="spellEnd"/>
      <w:r w:rsidRPr="00174CD6">
        <w:rPr>
          <w:sz w:val="24"/>
          <w:szCs w:val="24"/>
        </w:rPr>
        <w:t>.</w:t>
      </w:r>
      <w:proofErr w:type="gramEnd"/>
      <w:r w:rsidRPr="00174CD6">
        <w:rPr>
          <w:sz w:val="24"/>
          <w:szCs w:val="24"/>
        </w:rPr>
        <w:t xml:space="preserve"> ЛенРТК от 15.01.2019 № КТ-1-135/2019.</w:t>
      </w:r>
    </w:p>
    <w:p w:rsidR="00174CD6" w:rsidRPr="00174CD6" w:rsidRDefault="00AA0F73" w:rsidP="00174CD6">
      <w:pPr>
        <w:spacing w:line="0" w:lineRule="atLeast"/>
        <w:ind w:firstLine="708"/>
        <w:jc w:val="both"/>
        <w:rPr>
          <w:snapToGrid w:val="0"/>
          <w:sz w:val="24"/>
          <w:szCs w:val="24"/>
        </w:rPr>
      </w:pPr>
      <w:proofErr w:type="gramStart"/>
      <w:r>
        <w:rPr>
          <w:sz w:val="24"/>
          <w:szCs w:val="24"/>
        </w:rPr>
        <w:t xml:space="preserve">Кроме того, Марков А.Е. сообщил, что </w:t>
      </w:r>
      <w:r w:rsidR="00542A99">
        <w:rPr>
          <w:sz w:val="24"/>
          <w:szCs w:val="24"/>
        </w:rPr>
        <w:t xml:space="preserve">в адрес ЛенРТК поступило письмо от </w:t>
      </w:r>
      <w:r w:rsidR="00174CD6" w:rsidRPr="00174CD6">
        <w:rPr>
          <w:sz w:val="24"/>
          <w:szCs w:val="24"/>
        </w:rPr>
        <w:t>ООО «</w:t>
      </w:r>
      <w:proofErr w:type="spellStart"/>
      <w:r w:rsidR="00174CD6" w:rsidRPr="00174CD6">
        <w:rPr>
          <w:sz w:val="24"/>
          <w:szCs w:val="24"/>
        </w:rPr>
        <w:t>Ивангор</w:t>
      </w:r>
      <w:r>
        <w:rPr>
          <w:sz w:val="24"/>
          <w:szCs w:val="24"/>
        </w:rPr>
        <w:t>одский</w:t>
      </w:r>
      <w:proofErr w:type="spellEnd"/>
      <w:r>
        <w:rPr>
          <w:sz w:val="24"/>
          <w:szCs w:val="24"/>
        </w:rPr>
        <w:t xml:space="preserve"> водоканал» </w:t>
      </w:r>
      <w:bookmarkStart w:id="0" w:name="_GoBack"/>
      <w:bookmarkEnd w:id="0"/>
      <w:r w:rsidR="00174CD6" w:rsidRPr="00174CD6">
        <w:rPr>
          <w:sz w:val="24"/>
          <w:szCs w:val="24"/>
        </w:rPr>
        <w:t>с просьбой о переносе рассмотрени</w:t>
      </w:r>
      <w:r>
        <w:rPr>
          <w:sz w:val="24"/>
          <w:szCs w:val="24"/>
        </w:rPr>
        <w:t>я</w:t>
      </w:r>
      <w:r w:rsidR="00174CD6" w:rsidRPr="00174CD6">
        <w:rPr>
          <w:sz w:val="24"/>
          <w:szCs w:val="24"/>
        </w:rPr>
        <w:t xml:space="preserve"> вопроса </w:t>
      </w:r>
      <w:r>
        <w:rPr>
          <w:sz w:val="24"/>
          <w:szCs w:val="24"/>
        </w:rPr>
        <w:t xml:space="preserve">в связи с представлением </w:t>
      </w:r>
      <w:r w:rsidR="00174CD6" w:rsidRPr="00174CD6">
        <w:rPr>
          <w:sz w:val="24"/>
          <w:szCs w:val="24"/>
        </w:rPr>
        <w:t>дополнительны</w:t>
      </w:r>
      <w:r>
        <w:rPr>
          <w:sz w:val="24"/>
          <w:szCs w:val="24"/>
        </w:rPr>
        <w:t>х</w:t>
      </w:r>
      <w:r w:rsidR="00174CD6" w:rsidRPr="00174CD6">
        <w:rPr>
          <w:sz w:val="24"/>
          <w:szCs w:val="24"/>
        </w:rPr>
        <w:t xml:space="preserve"> материал</w:t>
      </w:r>
      <w:r>
        <w:rPr>
          <w:sz w:val="24"/>
          <w:szCs w:val="24"/>
        </w:rPr>
        <w:t>ов</w:t>
      </w:r>
      <w:r w:rsidR="00174CD6" w:rsidRPr="00174CD6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данному </w:t>
      </w:r>
      <w:r w:rsidR="00174CD6" w:rsidRPr="00174CD6">
        <w:rPr>
          <w:sz w:val="24"/>
          <w:szCs w:val="24"/>
        </w:rPr>
        <w:t>вопросу (</w:t>
      </w:r>
      <w:proofErr w:type="spellStart"/>
      <w:r w:rsidR="00174CD6" w:rsidRPr="00174CD6">
        <w:rPr>
          <w:sz w:val="24"/>
          <w:szCs w:val="24"/>
        </w:rPr>
        <w:t>вх</w:t>
      </w:r>
      <w:proofErr w:type="spellEnd"/>
      <w:r w:rsidR="00174CD6" w:rsidRPr="00174CD6">
        <w:rPr>
          <w:sz w:val="24"/>
          <w:szCs w:val="24"/>
        </w:rPr>
        <w:t>.</w:t>
      </w:r>
      <w:proofErr w:type="gramEnd"/>
      <w:r w:rsidR="00174CD6" w:rsidRPr="00174CD6">
        <w:rPr>
          <w:sz w:val="24"/>
          <w:szCs w:val="24"/>
        </w:rPr>
        <w:t xml:space="preserve"> № </w:t>
      </w:r>
      <w:proofErr w:type="gramStart"/>
      <w:r w:rsidR="00174CD6" w:rsidRPr="00174CD6">
        <w:rPr>
          <w:sz w:val="24"/>
          <w:szCs w:val="24"/>
        </w:rPr>
        <w:t xml:space="preserve">КТ-1-919/2019 от 21.02.2019). </w:t>
      </w:r>
      <w:proofErr w:type="gramEnd"/>
    </w:p>
    <w:p w:rsidR="00174CD6" w:rsidRDefault="00174CD6" w:rsidP="00174CD6">
      <w:pPr>
        <w:ind w:firstLine="709"/>
        <w:jc w:val="both"/>
        <w:rPr>
          <w:snapToGrid w:val="0"/>
          <w:sz w:val="24"/>
          <w:szCs w:val="24"/>
        </w:rPr>
      </w:pPr>
    </w:p>
    <w:p w:rsidR="00174CD6" w:rsidRDefault="00174CD6" w:rsidP="00174CD6">
      <w:pPr>
        <w:ind w:firstLine="709"/>
        <w:jc w:val="both"/>
        <w:rPr>
          <w:b/>
          <w:snapToGrid w:val="0"/>
          <w:sz w:val="24"/>
          <w:szCs w:val="24"/>
        </w:rPr>
      </w:pPr>
      <w:r w:rsidRPr="00174CD6">
        <w:rPr>
          <w:b/>
          <w:snapToGrid w:val="0"/>
          <w:sz w:val="24"/>
          <w:szCs w:val="24"/>
        </w:rPr>
        <w:t>Правление приняло решение:</w:t>
      </w:r>
    </w:p>
    <w:p w:rsidR="00174CD6" w:rsidRPr="00174CD6" w:rsidRDefault="00174CD6" w:rsidP="00174CD6">
      <w:pPr>
        <w:ind w:firstLine="709"/>
        <w:jc w:val="both"/>
        <w:rPr>
          <w:snapToGrid w:val="0"/>
          <w:sz w:val="24"/>
          <w:szCs w:val="24"/>
        </w:rPr>
      </w:pPr>
      <w:r w:rsidRPr="00174CD6">
        <w:rPr>
          <w:snapToGrid w:val="0"/>
          <w:sz w:val="24"/>
          <w:szCs w:val="24"/>
        </w:rPr>
        <w:t>Перенести рассмотрение вопроса на 01.03.2019.</w:t>
      </w:r>
    </w:p>
    <w:p w:rsidR="00174CD6" w:rsidRPr="00174CD6" w:rsidRDefault="00174CD6" w:rsidP="00174CD6">
      <w:pPr>
        <w:ind w:firstLine="709"/>
        <w:jc w:val="both"/>
        <w:rPr>
          <w:b/>
          <w:snapToGrid w:val="0"/>
          <w:sz w:val="24"/>
          <w:szCs w:val="24"/>
        </w:rPr>
      </w:pPr>
    </w:p>
    <w:p w:rsidR="00174CD6" w:rsidRPr="00174CD6" w:rsidRDefault="00174CD6" w:rsidP="00174CD6">
      <w:pPr>
        <w:ind w:right="-144"/>
        <w:jc w:val="center"/>
        <w:rPr>
          <w:b/>
          <w:sz w:val="24"/>
          <w:szCs w:val="24"/>
        </w:rPr>
      </w:pPr>
      <w:r w:rsidRPr="00174CD6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7057F1" w:rsidRDefault="007057F1" w:rsidP="007057F1">
      <w:pPr>
        <w:ind w:firstLine="567"/>
        <w:jc w:val="both"/>
        <w:rPr>
          <w:sz w:val="24"/>
          <w:szCs w:val="24"/>
        </w:rPr>
      </w:pPr>
    </w:p>
    <w:p w:rsidR="00174CD6" w:rsidRPr="00174CD6" w:rsidRDefault="00174CD6" w:rsidP="00174CD6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gramStart"/>
      <w:r w:rsidRPr="00174CD6">
        <w:rPr>
          <w:b/>
          <w:sz w:val="24"/>
          <w:szCs w:val="24"/>
        </w:rPr>
        <w:t xml:space="preserve">По вопросу повестки «О внесении изменений в приказ комитета по тарифам и ценовой политике Ленинградской области от 09 декабря 2016 года № 243-п «Об установлении долгосрочных параметров регулирования деятельности, тарифов на тепловую энергию                     и горячую воду, поставляемые обществом с ограниченной ответственностью «МИР ТЕХНИКИ» потребителям на территории Ленинградской области, на долгосрочный период регулирования 2017-2019 годов» </w:t>
      </w:r>
      <w:r w:rsidRPr="00174CD6">
        <w:rPr>
          <w:sz w:val="24"/>
          <w:szCs w:val="24"/>
        </w:rPr>
        <w:t xml:space="preserve">выступила начальник отдела регулирования тарифов (цен)                     </w:t>
      </w:r>
      <w:r w:rsidRPr="00174CD6">
        <w:rPr>
          <w:sz w:val="24"/>
          <w:szCs w:val="24"/>
        </w:rPr>
        <w:lastRenderedPageBreak/>
        <w:t>в</w:t>
      </w:r>
      <w:proofErr w:type="gramEnd"/>
      <w:r w:rsidRPr="00174CD6">
        <w:rPr>
          <w:sz w:val="24"/>
          <w:szCs w:val="24"/>
        </w:rPr>
        <w:t xml:space="preserve"> </w:t>
      </w:r>
      <w:proofErr w:type="gramStart"/>
      <w:r w:rsidRPr="00174CD6">
        <w:rPr>
          <w:sz w:val="24"/>
          <w:szCs w:val="24"/>
        </w:rPr>
        <w:t>сфере теплоснабжения департамента регулирования тарифов организаций коммунального комплекса и электрической энергии комитета Курылко С.А. и сообщила, что письмом                            от 20.02.2019 исх. № 86 (</w:t>
      </w:r>
      <w:proofErr w:type="spellStart"/>
      <w:r w:rsidRPr="00174CD6">
        <w:rPr>
          <w:sz w:val="24"/>
          <w:szCs w:val="24"/>
        </w:rPr>
        <w:t>вх</w:t>
      </w:r>
      <w:proofErr w:type="spellEnd"/>
      <w:r w:rsidRPr="00174CD6">
        <w:rPr>
          <w:sz w:val="24"/>
          <w:szCs w:val="24"/>
        </w:rPr>
        <w:t>.</w:t>
      </w:r>
      <w:proofErr w:type="gramEnd"/>
      <w:r w:rsidRPr="00174CD6">
        <w:rPr>
          <w:sz w:val="24"/>
          <w:szCs w:val="24"/>
        </w:rPr>
        <w:t xml:space="preserve"> № </w:t>
      </w:r>
      <w:proofErr w:type="gramStart"/>
      <w:r w:rsidRPr="00174CD6">
        <w:rPr>
          <w:sz w:val="24"/>
          <w:szCs w:val="24"/>
        </w:rPr>
        <w:t>КТ-1-912/2019 от 20.02.2019) ООО «МИР ТЕХНИКИ» в адрес ЛенРТК было направлено заявление об установлении тарифов на тепловую энергию на 2019 год               с учетом упрощенной системы налогообложения, т.е. сформированных с учетом налога                         на добавленную стоимость в составе расходов, формирующих необходимую валовую выручку.</w:t>
      </w:r>
      <w:proofErr w:type="gramEnd"/>
    </w:p>
    <w:p w:rsidR="00174CD6" w:rsidRPr="00174CD6" w:rsidRDefault="00174CD6" w:rsidP="00174CD6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174CD6">
        <w:rPr>
          <w:sz w:val="24"/>
          <w:szCs w:val="24"/>
        </w:rPr>
        <w:t>Согласно уведомлению УФНС по Ленинградской област</w:t>
      </w:r>
      <w:proofErr w:type="gramStart"/>
      <w:r w:rsidRPr="00174CD6">
        <w:rPr>
          <w:sz w:val="24"/>
          <w:szCs w:val="24"/>
        </w:rPr>
        <w:t>и ООО</w:t>
      </w:r>
      <w:proofErr w:type="gramEnd"/>
      <w:r w:rsidRPr="00174CD6">
        <w:rPr>
          <w:sz w:val="24"/>
          <w:szCs w:val="24"/>
        </w:rPr>
        <w:t xml:space="preserve"> «МИР ТЕХНИКИ»                              с 1 января 2019 года работает по упрощенной системе налогообложения. В соответствии                         со статьей 346.11 главы 26.2 части II Налогового кодекса Российской Федерации тарифы, установленные Приказом ЛенРТК, налогом на добавленную стоимость не облагаются.</w:t>
      </w:r>
    </w:p>
    <w:p w:rsidR="00174CD6" w:rsidRPr="00174CD6" w:rsidRDefault="00043EB3" w:rsidP="00174CD6">
      <w:pPr>
        <w:tabs>
          <w:tab w:val="left" w:pos="567"/>
          <w:tab w:val="left" w:pos="709"/>
        </w:tabs>
        <w:ind w:firstLine="567"/>
        <w:jc w:val="both"/>
        <w:rPr>
          <w:color w:val="FF0000"/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подпунктом «к»</w:t>
      </w:r>
      <w:r w:rsidR="00174CD6" w:rsidRPr="00174CD6">
        <w:rPr>
          <w:sz w:val="24"/>
          <w:szCs w:val="24"/>
        </w:rPr>
        <w:t xml:space="preserve"> пункта 7 Правил регулирования цен (тарифов) в сфере теплоснабжения, утвержденных постановлением Правительства Российской Федерации </w:t>
      </w:r>
      <w:r w:rsidR="00174CD6" w:rsidRPr="00174CD6">
        <w:rPr>
          <w:sz w:val="24"/>
          <w:szCs w:val="24"/>
        </w:rPr>
        <w:br/>
        <w:t>от 22 октября 2012 года № 1075 «О ценообразовании в сфере теплоснабжения», тарифы регулируемых организаций могут корректироваться в течение регулируемого периода в случае изменения в течение этого периода регулирования системы налогообложения регулируемой организации.</w:t>
      </w:r>
      <w:proofErr w:type="gramEnd"/>
      <w:r w:rsidR="00174CD6" w:rsidRPr="00174CD6">
        <w:rPr>
          <w:sz w:val="24"/>
          <w:szCs w:val="24"/>
        </w:rPr>
        <w:t xml:space="preserve"> Таким образом, требуется внести изменение в </w:t>
      </w:r>
      <w:r w:rsidR="00174CD6" w:rsidRPr="00174CD6">
        <w:rPr>
          <w:rFonts w:eastAsia="Calibri"/>
          <w:sz w:val="24"/>
          <w:szCs w:val="24"/>
          <w:lang w:eastAsia="en-US"/>
        </w:rPr>
        <w:t xml:space="preserve">приказ ЛенРТК от 9 декабря 2018 года </w:t>
      </w:r>
      <w:r w:rsidR="00174CD6" w:rsidRPr="00174CD6">
        <w:rPr>
          <w:rFonts w:eastAsia="Calibri"/>
          <w:sz w:val="24"/>
          <w:szCs w:val="24"/>
          <w:lang w:eastAsia="en-US"/>
        </w:rPr>
        <w:br/>
        <w:t>№ 243-п.</w:t>
      </w:r>
    </w:p>
    <w:p w:rsidR="00174CD6" w:rsidRPr="00174CD6" w:rsidRDefault="00174CD6" w:rsidP="00174CD6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174CD6" w:rsidRDefault="00174CD6" w:rsidP="00174CD6">
      <w:pPr>
        <w:ind w:left="-142" w:firstLine="709"/>
        <w:contextualSpacing/>
        <w:jc w:val="both"/>
        <w:rPr>
          <w:b/>
          <w:sz w:val="24"/>
          <w:szCs w:val="24"/>
        </w:rPr>
      </w:pPr>
      <w:r w:rsidRPr="00174CD6">
        <w:rPr>
          <w:b/>
          <w:sz w:val="24"/>
          <w:szCs w:val="24"/>
        </w:rPr>
        <w:t xml:space="preserve">Правление приняло решение:  </w:t>
      </w:r>
    </w:p>
    <w:p w:rsidR="00174CD6" w:rsidRPr="00174CD6" w:rsidRDefault="00174CD6" w:rsidP="00174CD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74CD6">
        <w:rPr>
          <w:rFonts w:eastAsia="Calibri"/>
          <w:sz w:val="24"/>
          <w:szCs w:val="24"/>
          <w:lang w:eastAsia="en-US"/>
        </w:rPr>
        <w:t xml:space="preserve">Внести изменение в приказ от 9 декабря 2018 года № 243-п «Об установлении долгосрочных параметров регулирования деятельности, тарифов на тепловую энергию и горячую воду, поставляемые обществом с ограниченной ответственностью «МИР ТЕХНИКИ» потребителям на территории Ленинградской области, на долгосрочный период регулирования 2017-2019 годов», установив тарифы </w:t>
      </w:r>
      <w:r w:rsidRPr="00174CD6">
        <w:rPr>
          <w:sz w:val="24"/>
          <w:szCs w:val="24"/>
        </w:rPr>
        <w:t>на тепловую энергию и горячую воду, поставляемые ООО «МИР ТЕХНИКИ» в 2019 году в следующем размере</w:t>
      </w:r>
      <w:r w:rsidRPr="00174CD6">
        <w:rPr>
          <w:rFonts w:eastAsia="Calibri"/>
          <w:sz w:val="24"/>
          <w:szCs w:val="24"/>
          <w:lang w:eastAsia="en-US"/>
        </w:rPr>
        <w:t>:</w:t>
      </w:r>
      <w:proofErr w:type="gramEnd"/>
    </w:p>
    <w:p w:rsidR="00174CD6" w:rsidRPr="00174CD6" w:rsidRDefault="00174CD6" w:rsidP="00174CD6">
      <w:pPr>
        <w:ind w:right="-23" w:firstLine="709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174CD6">
        <w:rPr>
          <w:rFonts w:eastAsia="Calibri"/>
          <w:b/>
          <w:sz w:val="24"/>
          <w:szCs w:val="24"/>
          <w:lang w:eastAsia="en-US"/>
        </w:rPr>
        <w:t>Тарифы на тепловую энергию</w:t>
      </w:r>
    </w:p>
    <w:tbl>
      <w:tblPr>
        <w:tblpPr w:leftFromText="180" w:rightFromText="180" w:vertAnchor="text" w:horzAnchor="margin" w:tblpY="133"/>
        <w:tblW w:w="5000" w:type="pct"/>
        <w:tblLook w:val="00A0" w:firstRow="1" w:lastRow="0" w:firstColumn="1" w:lastColumn="0" w:noHBand="0" w:noVBand="0"/>
      </w:tblPr>
      <w:tblGrid>
        <w:gridCol w:w="511"/>
        <w:gridCol w:w="1736"/>
        <w:gridCol w:w="2920"/>
        <w:gridCol w:w="983"/>
        <w:gridCol w:w="781"/>
        <w:gridCol w:w="781"/>
        <w:gridCol w:w="929"/>
        <w:gridCol w:w="839"/>
        <w:gridCol w:w="1225"/>
      </w:tblGrid>
      <w:tr w:rsidR="00174CD6" w:rsidRPr="00174CD6" w:rsidTr="00174CD6">
        <w:trPr>
          <w:trHeight w:val="2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D6" w:rsidRPr="00174CD6" w:rsidRDefault="00174CD6" w:rsidP="00174CD6">
            <w:pPr>
              <w:contextualSpacing/>
              <w:jc w:val="center"/>
              <w:rPr>
                <w:rFonts w:eastAsia="Calibri"/>
              </w:rPr>
            </w:pPr>
            <w:r w:rsidRPr="00174CD6">
              <w:rPr>
                <w:rFonts w:eastAsia="Calibri"/>
              </w:rPr>
              <w:t xml:space="preserve">№ </w:t>
            </w:r>
            <w:proofErr w:type="gramStart"/>
            <w:r w:rsidRPr="00174CD6">
              <w:rPr>
                <w:rFonts w:eastAsia="Calibri"/>
              </w:rPr>
              <w:t>п</w:t>
            </w:r>
            <w:proofErr w:type="gramEnd"/>
            <w:r w:rsidRPr="00174CD6">
              <w:rPr>
                <w:rFonts w:eastAsia="Calibri"/>
              </w:rPr>
              <w:t>/п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4CD6" w:rsidRPr="00174CD6" w:rsidRDefault="00174CD6" w:rsidP="00174CD6">
            <w:pPr>
              <w:contextualSpacing/>
              <w:jc w:val="center"/>
              <w:rPr>
                <w:rFonts w:eastAsia="Calibri"/>
              </w:rPr>
            </w:pPr>
            <w:r w:rsidRPr="00174CD6">
              <w:rPr>
                <w:rFonts w:eastAsia="Calibri"/>
              </w:rPr>
              <w:t>Вид тарифа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4CD6" w:rsidRPr="00174CD6" w:rsidRDefault="00174CD6" w:rsidP="00174CD6">
            <w:pPr>
              <w:contextualSpacing/>
              <w:jc w:val="center"/>
              <w:rPr>
                <w:rFonts w:eastAsia="Calibri"/>
              </w:rPr>
            </w:pPr>
            <w:r w:rsidRPr="00174CD6">
              <w:rPr>
                <w:rFonts w:eastAsia="Calibri"/>
              </w:rPr>
              <w:t>Год с календарной разбивкой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4CD6" w:rsidRPr="00174CD6" w:rsidRDefault="00174CD6" w:rsidP="00174CD6">
            <w:pPr>
              <w:contextualSpacing/>
              <w:jc w:val="center"/>
              <w:rPr>
                <w:rFonts w:eastAsia="Calibri"/>
              </w:rPr>
            </w:pPr>
            <w:r w:rsidRPr="00174CD6">
              <w:rPr>
                <w:rFonts w:eastAsia="Calibri"/>
              </w:rPr>
              <w:t>Вода</w:t>
            </w:r>
          </w:p>
        </w:tc>
        <w:tc>
          <w:tcPr>
            <w:tcW w:w="15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4CD6" w:rsidRPr="00174CD6" w:rsidRDefault="00174CD6" w:rsidP="00174CD6">
            <w:pPr>
              <w:contextualSpacing/>
              <w:jc w:val="center"/>
              <w:rPr>
                <w:rFonts w:eastAsia="Calibri"/>
              </w:rPr>
            </w:pPr>
            <w:r w:rsidRPr="00174CD6">
              <w:rPr>
                <w:rFonts w:eastAsia="Calibri"/>
              </w:rPr>
              <w:t>Отборный пар давлением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D6" w:rsidRPr="00174CD6" w:rsidRDefault="00174CD6" w:rsidP="00174CD6">
            <w:pPr>
              <w:ind w:left="-126" w:right="-142"/>
              <w:contextualSpacing/>
              <w:jc w:val="center"/>
              <w:rPr>
                <w:rFonts w:eastAsia="Calibri"/>
              </w:rPr>
            </w:pPr>
            <w:r w:rsidRPr="00174CD6">
              <w:rPr>
                <w:rFonts w:eastAsia="Calibri"/>
              </w:rPr>
              <w:t xml:space="preserve">Острый и </w:t>
            </w:r>
            <w:r w:rsidRPr="00174CD6">
              <w:rPr>
                <w:rFonts w:eastAsia="Calibri"/>
                <w:sz w:val="16"/>
                <w:szCs w:val="16"/>
              </w:rPr>
              <w:t>редуцированный</w:t>
            </w:r>
            <w:r w:rsidRPr="00174CD6">
              <w:rPr>
                <w:rFonts w:eastAsia="Calibri"/>
              </w:rPr>
              <w:t xml:space="preserve"> пар</w:t>
            </w:r>
          </w:p>
        </w:tc>
      </w:tr>
      <w:tr w:rsidR="00174CD6" w:rsidRPr="00174CD6" w:rsidTr="00174CD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D6" w:rsidRPr="00174CD6" w:rsidRDefault="00174CD6" w:rsidP="00174CD6">
            <w:pPr>
              <w:contextualSpacing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D6" w:rsidRPr="00174CD6" w:rsidRDefault="00174CD6" w:rsidP="00174CD6">
            <w:pPr>
              <w:contextualSpacing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D6" w:rsidRPr="00174CD6" w:rsidRDefault="00174CD6" w:rsidP="00174CD6">
            <w:pPr>
              <w:contextualSpacing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D6" w:rsidRPr="00174CD6" w:rsidRDefault="00174CD6" w:rsidP="00174CD6">
            <w:pPr>
              <w:contextualSpacing/>
              <w:rPr>
                <w:rFonts w:eastAsia="Calibri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D6" w:rsidRPr="00174CD6" w:rsidRDefault="00174CD6" w:rsidP="00174CD6">
            <w:pPr>
              <w:contextualSpacing/>
              <w:jc w:val="center"/>
              <w:rPr>
                <w:rFonts w:eastAsia="Calibri"/>
              </w:rPr>
            </w:pPr>
            <w:r w:rsidRPr="00174CD6">
              <w:rPr>
                <w:rFonts w:eastAsia="Calibri"/>
              </w:rPr>
              <w:t>от 1,2 до 2,5 кг/см</w:t>
            </w:r>
            <w:proofErr w:type="gramStart"/>
            <w:r w:rsidRPr="00174CD6"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D6" w:rsidRPr="00174CD6" w:rsidRDefault="00174CD6" w:rsidP="00174CD6">
            <w:pPr>
              <w:contextualSpacing/>
              <w:jc w:val="center"/>
              <w:rPr>
                <w:rFonts w:eastAsia="Calibri"/>
              </w:rPr>
            </w:pPr>
            <w:r w:rsidRPr="00174CD6">
              <w:rPr>
                <w:rFonts w:eastAsia="Calibri"/>
              </w:rPr>
              <w:t>от 2,5 до 7,0 кг/см</w:t>
            </w:r>
            <w:proofErr w:type="gramStart"/>
            <w:r w:rsidRPr="00174CD6"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D6" w:rsidRPr="00174CD6" w:rsidRDefault="00174CD6" w:rsidP="00174CD6">
            <w:pPr>
              <w:contextualSpacing/>
              <w:jc w:val="center"/>
              <w:rPr>
                <w:rFonts w:eastAsia="Calibri"/>
              </w:rPr>
            </w:pPr>
            <w:r w:rsidRPr="00174CD6">
              <w:rPr>
                <w:rFonts w:eastAsia="Calibri"/>
              </w:rPr>
              <w:t>от 7,0 до 13,0 кг/см</w:t>
            </w:r>
            <w:proofErr w:type="gramStart"/>
            <w:r w:rsidRPr="00174CD6"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D6" w:rsidRPr="00174CD6" w:rsidRDefault="00174CD6" w:rsidP="00174CD6">
            <w:pPr>
              <w:contextualSpacing/>
              <w:jc w:val="center"/>
              <w:rPr>
                <w:rFonts w:eastAsia="Calibri"/>
              </w:rPr>
            </w:pPr>
            <w:r w:rsidRPr="00174CD6">
              <w:rPr>
                <w:rFonts w:eastAsia="Calibri"/>
              </w:rPr>
              <w:t>свыше 13,0 кг/см</w:t>
            </w:r>
            <w:proofErr w:type="gramStart"/>
            <w:r w:rsidRPr="00174CD6"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D6" w:rsidRPr="00174CD6" w:rsidRDefault="00174CD6" w:rsidP="00174CD6">
            <w:pPr>
              <w:contextualSpacing/>
              <w:rPr>
                <w:rFonts w:eastAsia="Calibri"/>
              </w:rPr>
            </w:pPr>
          </w:p>
        </w:tc>
      </w:tr>
      <w:tr w:rsidR="00174CD6" w:rsidRPr="00174CD6" w:rsidTr="00174CD6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4CD6" w:rsidRPr="00174CD6" w:rsidRDefault="00174CD6" w:rsidP="00174CD6">
            <w:pPr>
              <w:contextualSpacing/>
              <w:jc w:val="center"/>
              <w:rPr>
                <w:rFonts w:eastAsia="Calibri"/>
              </w:rPr>
            </w:pPr>
            <w:r w:rsidRPr="00174CD6">
              <w:rPr>
                <w:rFonts w:eastAsia="Calibri"/>
              </w:rPr>
              <w:t>1</w:t>
            </w:r>
          </w:p>
        </w:tc>
        <w:tc>
          <w:tcPr>
            <w:tcW w:w="47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D6" w:rsidRPr="00174CD6" w:rsidRDefault="00174CD6" w:rsidP="00174CD6">
            <w:pPr>
              <w:contextualSpacing/>
              <w:jc w:val="both"/>
              <w:rPr>
                <w:rFonts w:eastAsia="Calibri"/>
              </w:rPr>
            </w:pPr>
            <w:r w:rsidRPr="00174CD6">
              <w:t>Для потребителей муниципального образования «</w:t>
            </w:r>
            <w:proofErr w:type="spellStart"/>
            <w:r w:rsidRPr="00174CD6">
              <w:t>Лужское</w:t>
            </w:r>
            <w:proofErr w:type="spellEnd"/>
            <w:r w:rsidRPr="00174CD6">
              <w:t xml:space="preserve"> городское поселение» </w:t>
            </w:r>
            <w:proofErr w:type="spellStart"/>
            <w:r w:rsidRPr="00174CD6">
              <w:t>Лужского</w:t>
            </w:r>
            <w:proofErr w:type="spellEnd"/>
            <w:r w:rsidRPr="00174CD6">
              <w:t xml:space="preserve"> муниципального района Ленинградской области, в случае отсутствия дифференциации тарифов по схеме подключения</w:t>
            </w:r>
          </w:p>
        </w:tc>
      </w:tr>
      <w:tr w:rsidR="00174CD6" w:rsidRPr="00174CD6" w:rsidTr="00174CD6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4CD6" w:rsidRPr="00174CD6" w:rsidRDefault="00174CD6" w:rsidP="00174CD6">
            <w:pPr>
              <w:contextualSpacing/>
              <w:rPr>
                <w:rFonts w:eastAsia="Calibri"/>
              </w:rPr>
            </w:pP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CD6" w:rsidRPr="00174CD6" w:rsidRDefault="00174CD6" w:rsidP="00174CD6">
            <w:pPr>
              <w:contextualSpacing/>
              <w:rPr>
                <w:rFonts w:eastAsia="Calibri"/>
              </w:rPr>
            </w:pPr>
            <w:proofErr w:type="spellStart"/>
            <w:r w:rsidRPr="00174CD6">
              <w:rPr>
                <w:rFonts w:eastAsia="Calibri"/>
              </w:rPr>
              <w:t>Одноставочный</w:t>
            </w:r>
            <w:proofErr w:type="spellEnd"/>
            <w:r w:rsidRPr="00174CD6">
              <w:rPr>
                <w:rFonts w:eastAsia="Calibri"/>
              </w:rPr>
              <w:t>, руб./Гкал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D6" w:rsidRPr="00174CD6" w:rsidRDefault="00174CD6" w:rsidP="00174CD6">
            <w:pPr>
              <w:contextualSpacing/>
              <w:jc w:val="center"/>
              <w:rPr>
                <w:rFonts w:eastAsia="Calibri"/>
              </w:rPr>
            </w:pPr>
            <w:r w:rsidRPr="00174CD6">
              <w:rPr>
                <w:rFonts w:eastAsia="Calibri"/>
              </w:rPr>
              <w:t xml:space="preserve">с 01.01.2019 по </w:t>
            </w:r>
            <w:r w:rsidRPr="00174CD6">
              <w:rPr>
                <w:rFonts w:eastAsia="Calibri"/>
                <w:lang w:eastAsia="en-US"/>
              </w:rPr>
              <w:t>дату вступления в законную силу настоящего приказа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4CD6" w:rsidRPr="00174CD6" w:rsidRDefault="00174CD6" w:rsidP="00174CD6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74CD6">
              <w:rPr>
                <w:color w:val="000000"/>
                <w:sz w:val="18"/>
                <w:szCs w:val="18"/>
              </w:rPr>
              <w:t>2 746,64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4CD6" w:rsidRPr="00174CD6" w:rsidRDefault="00174CD6" w:rsidP="00174CD6">
            <w:pPr>
              <w:contextualSpacing/>
              <w:jc w:val="center"/>
              <w:rPr>
                <w:rFonts w:eastAsia="Calibri"/>
              </w:rPr>
            </w:pPr>
            <w:r w:rsidRPr="00174CD6">
              <w:rPr>
                <w:rFonts w:eastAsia="Calibri"/>
              </w:rPr>
              <w:t> 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4CD6" w:rsidRPr="00174CD6" w:rsidRDefault="00174CD6" w:rsidP="00174CD6">
            <w:pPr>
              <w:contextualSpacing/>
              <w:jc w:val="center"/>
              <w:rPr>
                <w:rFonts w:eastAsia="Calibri"/>
              </w:rPr>
            </w:pPr>
            <w:r w:rsidRPr="00174CD6">
              <w:rPr>
                <w:rFonts w:eastAsia="Calibri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4CD6" w:rsidRPr="00174CD6" w:rsidRDefault="00174CD6" w:rsidP="00174CD6">
            <w:pPr>
              <w:contextualSpacing/>
              <w:jc w:val="center"/>
              <w:rPr>
                <w:rFonts w:eastAsia="Calibri"/>
              </w:rPr>
            </w:pPr>
            <w:r w:rsidRPr="00174CD6">
              <w:rPr>
                <w:rFonts w:eastAsia="Calibri"/>
              </w:rPr>
              <w:t> 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4CD6" w:rsidRPr="00174CD6" w:rsidRDefault="00174CD6" w:rsidP="00174CD6">
            <w:pPr>
              <w:contextualSpacing/>
              <w:jc w:val="center"/>
              <w:rPr>
                <w:rFonts w:eastAsia="Calibri"/>
              </w:rPr>
            </w:pPr>
            <w:r w:rsidRPr="00174CD6">
              <w:rPr>
                <w:rFonts w:eastAsia="Calibri"/>
              </w:rPr>
              <w:t>-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4CD6" w:rsidRPr="00174CD6" w:rsidRDefault="00174CD6" w:rsidP="00174CD6">
            <w:pPr>
              <w:contextualSpacing/>
              <w:jc w:val="center"/>
              <w:rPr>
                <w:rFonts w:eastAsia="Calibri"/>
              </w:rPr>
            </w:pPr>
            <w:r w:rsidRPr="00174CD6">
              <w:rPr>
                <w:rFonts w:eastAsia="Calibri"/>
              </w:rPr>
              <w:t> -</w:t>
            </w:r>
          </w:p>
        </w:tc>
      </w:tr>
      <w:tr w:rsidR="00174CD6" w:rsidRPr="00174CD6" w:rsidTr="00174CD6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D6" w:rsidRPr="00174CD6" w:rsidRDefault="00174CD6" w:rsidP="00174CD6">
            <w:pPr>
              <w:contextualSpacing/>
              <w:rPr>
                <w:rFonts w:eastAsia="Calibri"/>
              </w:rPr>
            </w:pP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CD6" w:rsidRPr="00174CD6" w:rsidRDefault="00174CD6" w:rsidP="00174CD6">
            <w:pPr>
              <w:contextualSpacing/>
              <w:rPr>
                <w:rFonts w:eastAsia="Calibri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D6" w:rsidRPr="00174CD6" w:rsidRDefault="00174CD6" w:rsidP="00174CD6">
            <w:pPr>
              <w:contextualSpacing/>
              <w:jc w:val="center"/>
              <w:rPr>
                <w:rFonts w:eastAsia="Calibri"/>
              </w:rPr>
            </w:pPr>
            <w:r w:rsidRPr="00174CD6">
              <w:t xml:space="preserve">со дня вступления в </w:t>
            </w:r>
            <w:r w:rsidRPr="00174CD6">
              <w:rPr>
                <w:rFonts w:eastAsia="Calibri"/>
                <w:lang w:eastAsia="en-US"/>
              </w:rPr>
              <w:t xml:space="preserve">законную </w:t>
            </w:r>
            <w:r w:rsidRPr="00174CD6">
              <w:t xml:space="preserve">силу настоящего приказа </w:t>
            </w:r>
            <w:r w:rsidRPr="00174CD6">
              <w:rPr>
                <w:rFonts w:eastAsia="Calibri"/>
              </w:rPr>
              <w:t>по 31.12.2019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4CD6" w:rsidRPr="00174CD6" w:rsidRDefault="00174CD6" w:rsidP="00174CD6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74CD6">
              <w:rPr>
                <w:color w:val="000000"/>
                <w:sz w:val="18"/>
                <w:szCs w:val="18"/>
              </w:rPr>
              <w:t>2 961,58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4CD6" w:rsidRPr="00174CD6" w:rsidRDefault="00174CD6" w:rsidP="00174CD6">
            <w:pPr>
              <w:contextualSpacing/>
              <w:jc w:val="center"/>
              <w:rPr>
                <w:rFonts w:eastAsia="Calibri"/>
              </w:rPr>
            </w:pPr>
            <w:r w:rsidRPr="00174CD6">
              <w:rPr>
                <w:rFonts w:eastAsia="Calibri"/>
              </w:rPr>
              <w:t> 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4CD6" w:rsidRPr="00174CD6" w:rsidRDefault="00174CD6" w:rsidP="00174CD6">
            <w:pPr>
              <w:contextualSpacing/>
              <w:jc w:val="center"/>
              <w:rPr>
                <w:rFonts w:eastAsia="Calibri"/>
              </w:rPr>
            </w:pPr>
            <w:r w:rsidRPr="00174CD6">
              <w:rPr>
                <w:rFonts w:eastAsia="Calibri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4CD6" w:rsidRPr="00174CD6" w:rsidRDefault="00174CD6" w:rsidP="00174CD6">
            <w:pPr>
              <w:contextualSpacing/>
              <w:jc w:val="center"/>
              <w:rPr>
                <w:rFonts w:eastAsia="Calibri"/>
              </w:rPr>
            </w:pPr>
            <w:r w:rsidRPr="00174CD6">
              <w:rPr>
                <w:rFonts w:eastAsia="Calibri"/>
              </w:rPr>
              <w:t> 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4CD6" w:rsidRPr="00174CD6" w:rsidRDefault="00174CD6" w:rsidP="00174CD6">
            <w:pPr>
              <w:contextualSpacing/>
              <w:jc w:val="center"/>
              <w:rPr>
                <w:rFonts w:eastAsia="Calibri"/>
              </w:rPr>
            </w:pPr>
            <w:r w:rsidRPr="00174CD6">
              <w:rPr>
                <w:rFonts w:eastAsia="Calibri"/>
              </w:rPr>
              <w:t>-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4CD6" w:rsidRPr="00174CD6" w:rsidRDefault="00174CD6" w:rsidP="00174CD6">
            <w:pPr>
              <w:contextualSpacing/>
              <w:jc w:val="center"/>
              <w:rPr>
                <w:rFonts w:eastAsia="Calibri"/>
              </w:rPr>
            </w:pPr>
            <w:r w:rsidRPr="00174CD6">
              <w:rPr>
                <w:rFonts w:eastAsia="Calibri"/>
              </w:rPr>
              <w:t> -</w:t>
            </w:r>
          </w:p>
        </w:tc>
      </w:tr>
    </w:tbl>
    <w:p w:rsidR="00174CD6" w:rsidRPr="00174CD6" w:rsidRDefault="00174CD6" w:rsidP="00174CD6">
      <w:pPr>
        <w:contextualSpacing/>
        <w:jc w:val="center"/>
        <w:rPr>
          <w:rFonts w:eastAsia="Calibri"/>
          <w:sz w:val="26"/>
          <w:szCs w:val="26"/>
          <w:lang w:eastAsia="en-US"/>
        </w:rPr>
      </w:pPr>
      <w:r w:rsidRPr="00174CD6">
        <w:rPr>
          <w:rFonts w:eastAsia="Calibri"/>
          <w:b/>
          <w:sz w:val="24"/>
          <w:szCs w:val="24"/>
          <w:lang w:eastAsia="en-US"/>
        </w:rPr>
        <w:t>Тарифы на горячую воду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3"/>
        <w:gridCol w:w="2274"/>
        <w:gridCol w:w="32"/>
        <w:gridCol w:w="2654"/>
        <w:gridCol w:w="45"/>
        <w:gridCol w:w="2533"/>
        <w:gridCol w:w="17"/>
        <w:gridCol w:w="2414"/>
      </w:tblGrid>
      <w:tr w:rsidR="00174CD6" w:rsidRPr="00174CD6" w:rsidTr="00174CD6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D6" w:rsidRPr="00174CD6" w:rsidRDefault="00174CD6" w:rsidP="00174CD6">
            <w:pPr>
              <w:jc w:val="center"/>
              <w:rPr>
                <w:color w:val="000000"/>
              </w:rPr>
            </w:pPr>
            <w:r w:rsidRPr="00174CD6">
              <w:rPr>
                <w:color w:val="000000"/>
              </w:rPr>
              <w:t xml:space="preserve">№ </w:t>
            </w:r>
            <w:proofErr w:type="gramStart"/>
            <w:r w:rsidRPr="00174CD6">
              <w:rPr>
                <w:color w:val="000000"/>
              </w:rPr>
              <w:t>п</w:t>
            </w:r>
            <w:proofErr w:type="gramEnd"/>
            <w:r w:rsidRPr="00174CD6">
              <w:rPr>
                <w:color w:val="000000"/>
              </w:rPr>
              <w:t>/п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D6" w:rsidRPr="00174CD6" w:rsidRDefault="00174CD6" w:rsidP="00174CD6">
            <w:pPr>
              <w:jc w:val="center"/>
              <w:rPr>
                <w:color w:val="000000"/>
              </w:rPr>
            </w:pPr>
            <w:r w:rsidRPr="00174CD6">
              <w:rPr>
                <w:color w:val="000000"/>
              </w:rPr>
              <w:t>Вид системы теплоснабжения (горячего водоснабжения)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D6" w:rsidRPr="00174CD6" w:rsidRDefault="00174CD6" w:rsidP="00174CD6">
            <w:pPr>
              <w:jc w:val="center"/>
              <w:rPr>
                <w:color w:val="000000"/>
              </w:rPr>
            </w:pPr>
            <w:r w:rsidRPr="00174CD6">
              <w:rPr>
                <w:color w:val="000000"/>
              </w:rPr>
              <w:t>Год с календарной разбивкой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D6" w:rsidRPr="00174CD6" w:rsidRDefault="00174CD6" w:rsidP="00174CD6">
            <w:pPr>
              <w:jc w:val="center"/>
              <w:rPr>
                <w:color w:val="000000"/>
              </w:rPr>
            </w:pPr>
            <w:r w:rsidRPr="00174CD6">
              <w:rPr>
                <w:color w:val="000000"/>
              </w:rPr>
              <w:t>Компонент на теплоноситель/холодную воду, руб./куб. м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CD6" w:rsidRPr="00174CD6" w:rsidRDefault="00174CD6" w:rsidP="00174CD6">
            <w:pPr>
              <w:jc w:val="center"/>
              <w:rPr>
                <w:color w:val="000000"/>
              </w:rPr>
            </w:pPr>
            <w:r w:rsidRPr="00174CD6">
              <w:rPr>
                <w:color w:val="000000"/>
              </w:rPr>
              <w:t xml:space="preserve">Компонент на тепловую энергию </w:t>
            </w:r>
            <w:proofErr w:type="spellStart"/>
            <w:r w:rsidRPr="00174CD6">
              <w:rPr>
                <w:color w:val="000000"/>
              </w:rPr>
              <w:t>Одноставочный</w:t>
            </w:r>
            <w:proofErr w:type="spellEnd"/>
            <w:r w:rsidRPr="00174CD6">
              <w:rPr>
                <w:color w:val="000000"/>
              </w:rPr>
              <w:t>, руб./Гкал</w:t>
            </w:r>
          </w:p>
        </w:tc>
      </w:tr>
      <w:tr w:rsidR="00174CD6" w:rsidRPr="00174CD6" w:rsidTr="00174CD6">
        <w:trPr>
          <w:trHeight w:val="20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4CD6" w:rsidRPr="00174CD6" w:rsidRDefault="00174CD6" w:rsidP="00174CD6">
            <w:pPr>
              <w:jc w:val="center"/>
              <w:rPr>
                <w:rFonts w:eastAsia="Calibri"/>
                <w:color w:val="000000"/>
              </w:rPr>
            </w:pPr>
            <w:r w:rsidRPr="00174CD6">
              <w:rPr>
                <w:rFonts w:eastAsia="Calibri"/>
                <w:color w:val="000000"/>
              </w:rPr>
              <w:t>1</w:t>
            </w:r>
          </w:p>
        </w:tc>
        <w:tc>
          <w:tcPr>
            <w:tcW w:w="47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D6" w:rsidRPr="00174CD6" w:rsidRDefault="00174CD6" w:rsidP="00174CD6">
            <w:pPr>
              <w:jc w:val="both"/>
              <w:rPr>
                <w:rFonts w:eastAsia="Calibri"/>
                <w:color w:val="000000"/>
              </w:rPr>
            </w:pPr>
            <w:r w:rsidRPr="00174CD6">
              <w:t>Для потребителей муниципального образования «</w:t>
            </w:r>
            <w:proofErr w:type="spellStart"/>
            <w:r w:rsidRPr="00174CD6">
              <w:t>Лужское</w:t>
            </w:r>
            <w:proofErr w:type="spellEnd"/>
            <w:r w:rsidRPr="00174CD6">
              <w:t xml:space="preserve"> городское поселение» </w:t>
            </w:r>
            <w:proofErr w:type="spellStart"/>
            <w:r w:rsidRPr="00174CD6">
              <w:t>Лужского</w:t>
            </w:r>
            <w:proofErr w:type="spellEnd"/>
            <w:r w:rsidRPr="00174CD6">
              <w:t xml:space="preserve"> муниципального района Ленинградской области</w:t>
            </w:r>
          </w:p>
        </w:tc>
      </w:tr>
      <w:tr w:rsidR="00174CD6" w:rsidRPr="00174CD6" w:rsidTr="00174CD6">
        <w:trPr>
          <w:trHeight w:val="60"/>
        </w:trPr>
        <w:tc>
          <w:tcPr>
            <w:tcW w:w="2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D6" w:rsidRPr="00174CD6" w:rsidRDefault="00174CD6" w:rsidP="00174CD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D6" w:rsidRPr="00174CD6" w:rsidRDefault="00174CD6" w:rsidP="00174CD6">
            <w:pPr>
              <w:jc w:val="both"/>
              <w:rPr>
                <w:rFonts w:eastAsia="Calibri"/>
                <w:color w:val="000000"/>
              </w:rPr>
            </w:pPr>
            <w:r w:rsidRPr="00174CD6">
              <w:rPr>
                <w:rFonts w:eastAsia="Calibri"/>
                <w:color w:val="000000"/>
              </w:rPr>
              <w:t>Открытая система теплоснабжения (горячего водоснабжения), з</w:t>
            </w:r>
            <w:r w:rsidRPr="00174CD6">
              <w:rPr>
                <w:color w:val="000000"/>
              </w:rPr>
              <w:t>акрытая система теплоснабжения (горячего водоснабжения) без теплового пункта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D6" w:rsidRPr="00174CD6" w:rsidRDefault="00174CD6" w:rsidP="00174CD6">
            <w:pPr>
              <w:jc w:val="center"/>
              <w:rPr>
                <w:rFonts w:eastAsia="Calibri"/>
              </w:rPr>
            </w:pPr>
            <w:r w:rsidRPr="00174CD6">
              <w:rPr>
                <w:rFonts w:eastAsia="Calibri"/>
              </w:rPr>
              <w:t xml:space="preserve">с 01.01.2019 по </w:t>
            </w:r>
            <w:r w:rsidRPr="00174CD6">
              <w:rPr>
                <w:rFonts w:eastAsia="Calibri"/>
                <w:lang w:eastAsia="en-US"/>
              </w:rPr>
              <w:t>дату вступления в законную силу настоящего приказа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4CD6" w:rsidRPr="00174CD6" w:rsidRDefault="00174CD6" w:rsidP="00174CD6">
            <w:pPr>
              <w:jc w:val="center"/>
              <w:rPr>
                <w:color w:val="000000"/>
                <w:sz w:val="18"/>
                <w:szCs w:val="18"/>
              </w:rPr>
            </w:pPr>
            <w:r w:rsidRPr="00174CD6">
              <w:rPr>
                <w:color w:val="000000"/>
                <w:sz w:val="18"/>
                <w:szCs w:val="18"/>
              </w:rPr>
              <w:t>25,49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4CD6" w:rsidRPr="00174CD6" w:rsidRDefault="00174CD6" w:rsidP="00174CD6">
            <w:pPr>
              <w:jc w:val="center"/>
              <w:rPr>
                <w:color w:val="000000"/>
                <w:sz w:val="18"/>
                <w:szCs w:val="18"/>
              </w:rPr>
            </w:pPr>
            <w:r w:rsidRPr="00174CD6">
              <w:rPr>
                <w:color w:val="000000"/>
                <w:sz w:val="18"/>
                <w:szCs w:val="18"/>
              </w:rPr>
              <w:t>2 746,64</w:t>
            </w:r>
          </w:p>
        </w:tc>
      </w:tr>
      <w:tr w:rsidR="00174CD6" w:rsidRPr="00174CD6" w:rsidTr="00174CD6">
        <w:trPr>
          <w:trHeight w:val="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D6" w:rsidRPr="00174CD6" w:rsidRDefault="00174CD6" w:rsidP="00174CD6">
            <w:pPr>
              <w:rPr>
                <w:rFonts w:eastAsia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D6" w:rsidRPr="00174CD6" w:rsidRDefault="00174CD6" w:rsidP="00174CD6">
            <w:pPr>
              <w:rPr>
                <w:rFonts w:eastAsia="Calibri"/>
                <w:color w:val="000000"/>
              </w:rPr>
            </w:pP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D6" w:rsidRPr="00174CD6" w:rsidRDefault="00174CD6" w:rsidP="00174CD6">
            <w:pPr>
              <w:jc w:val="center"/>
              <w:rPr>
                <w:rFonts w:eastAsia="Calibri"/>
              </w:rPr>
            </w:pPr>
            <w:r w:rsidRPr="00174CD6">
              <w:t xml:space="preserve">со дня вступления в </w:t>
            </w:r>
            <w:r w:rsidRPr="00174CD6">
              <w:rPr>
                <w:rFonts w:eastAsia="Calibri"/>
                <w:lang w:eastAsia="en-US"/>
              </w:rPr>
              <w:t xml:space="preserve">законную </w:t>
            </w:r>
            <w:r w:rsidRPr="00174CD6">
              <w:t xml:space="preserve">силу настоящего приказа </w:t>
            </w:r>
            <w:r w:rsidRPr="00174CD6">
              <w:rPr>
                <w:rFonts w:eastAsia="Calibri"/>
              </w:rPr>
              <w:t>по 31.12.2019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4CD6" w:rsidRPr="00174CD6" w:rsidRDefault="00174CD6" w:rsidP="00174CD6">
            <w:pPr>
              <w:jc w:val="center"/>
              <w:rPr>
                <w:color w:val="000000"/>
                <w:sz w:val="18"/>
                <w:szCs w:val="18"/>
              </w:rPr>
            </w:pPr>
            <w:r w:rsidRPr="00174CD6">
              <w:rPr>
                <w:color w:val="000000"/>
                <w:sz w:val="18"/>
                <w:szCs w:val="18"/>
              </w:rPr>
              <w:t>33,16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4CD6" w:rsidRPr="00174CD6" w:rsidRDefault="00174CD6" w:rsidP="00174CD6">
            <w:pPr>
              <w:jc w:val="center"/>
              <w:rPr>
                <w:color w:val="000000"/>
                <w:sz w:val="18"/>
                <w:szCs w:val="18"/>
              </w:rPr>
            </w:pPr>
            <w:r w:rsidRPr="00174CD6">
              <w:rPr>
                <w:color w:val="000000"/>
                <w:sz w:val="18"/>
                <w:szCs w:val="18"/>
              </w:rPr>
              <w:t>2 961,58</w:t>
            </w:r>
          </w:p>
        </w:tc>
      </w:tr>
    </w:tbl>
    <w:p w:rsidR="00174CD6" w:rsidRDefault="00174CD6" w:rsidP="00174CD6">
      <w:pPr>
        <w:ind w:left="-142" w:right="-144" w:firstLine="142"/>
        <w:contextualSpacing/>
        <w:jc w:val="center"/>
        <w:rPr>
          <w:b/>
          <w:sz w:val="24"/>
          <w:szCs w:val="24"/>
        </w:rPr>
      </w:pPr>
    </w:p>
    <w:p w:rsidR="00174CD6" w:rsidRPr="00174CD6" w:rsidRDefault="00174CD6" w:rsidP="00174CD6">
      <w:pPr>
        <w:ind w:left="-142" w:right="-144" w:firstLine="142"/>
        <w:contextualSpacing/>
        <w:jc w:val="center"/>
        <w:rPr>
          <w:b/>
          <w:sz w:val="24"/>
          <w:szCs w:val="24"/>
        </w:rPr>
      </w:pPr>
      <w:r w:rsidRPr="00174CD6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174CD6" w:rsidRDefault="00174CD6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 w:rsidR="00174CD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комплекса и электрической энергии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174CD6">
        <w:rPr>
          <w:sz w:val="24"/>
          <w:szCs w:val="24"/>
        </w:rPr>
        <w:t xml:space="preserve">     </w:t>
      </w:r>
      <w:r>
        <w:rPr>
          <w:sz w:val="24"/>
          <w:szCs w:val="24"/>
        </w:rPr>
        <w:t>Т.Л. Свиридова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174CD6">
        <w:rPr>
          <w:sz w:val="24"/>
          <w:szCs w:val="24"/>
        </w:rPr>
        <w:t xml:space="preserve">     </w:t>
      </w:r>
      <w:r>
        <w:rPr>
          <w:sz w:val="24"/>
          <w:szCs w:val="24"/>
        </w:rPr>
        <w:t>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4CD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      </w:t>
      </w:r>
      <w:r w:rsidR="00174CD6">
        <w:rPr>
          <w:sz w:val="24"/>
          <w:szCs w:val="24"/>
        </w:rPr>
        <w:t xml:space="preserve">     </w:t>
      </w:r>
      <w:r w:rsidR="003C3D4D">
        <w:rPr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174CD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="00174CD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         </w:t>
      </w:r>
      <w:r w:rsidR="00174CD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8C6334">
      <w:pgSz w:w="11906" w:h="16838"/>
      <w:pgMar w:top="993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5045"/>
    <w:multiLevelType w:val="hybridMultilevel"/>
    <w:tmpl w:val="A48E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43EB3"/>
    <w:rsid w:val="0015227D"/>
    <w:rsid w:val="001620E2"/>
    <w:rsid w:val="00174CD6"/>
    <w:rsid w:val="002627EB"/>
    <w:rsid w:val="002F2728"/>
    <w:rsid w:val="003B6B87"/>
    <w:rsid w:val="003C3D4D"/>
    <w:rsid w:val="00542A99"/>
    <w:rsid w:val="005A40CD"/>
    <w:rsid w:val="007057F1"/>
    <w:rsid w:val="007244AB"/>
    <w:rsid w:val="007753ED"/>
    <w:rsid w:val="0084613E"/>
    <w:rsid w:val="00894DB5"/>
    <w:rsid w:val="008C6334"/>
    <w:rsid w:val="00900E45"/>
    <w:rsid w:val="00932E36"/>
    <w:rsid w:val="009A63CA"/>
    <w:rsid w:val="00A34C6B"/>
    <w:rsid w:val="00A36B0E"/>
    <w:rsid w:val="00AA0F73"/>
    <w:rsid w:val="00B756D9"/>
    <w:rsid w:val="00BA2D33"/>
    <w:rsid w:val="00BD37E4"/>
    <w:rsid w:val="00E35AB1"/>
    <w:rsid w:val="00E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4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4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28</cp:revision>
  <cp:lastPrinted>2019-02-26T11:13:00Z</cp:lastPrinted>
  <dcterms:created xsi:type="dcterms:W3CDTF">2014-10-27T07:45:00Z</dcterms:created>
  <dcterms:modified xsi:type="dcterms:W3CDTF">2019-02-26T11:15:00Z</dcterms:modified>
</cp:coreProperties>
</file>