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496572">
        <w:rPr>
          <w:b/>
          <w:color w:val="000000"/>
          <w:sz w:val="24"/>
          <w:szCs w:val="24"/>
        </w:rPr>
        <w:t>10</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496572" w:rsidP="007057F1">
      <w:pPr>
        <w:rPr>
          <w:sz w:val="24"/>
          <w:szCs w:val="24"/>
        </w:rPr>
      </w:pPr>
      <w:r>
        <w:rPr>
          <w:sz w:val="24"/>
          <w:szCs w:val="24"/>
        </w:rPr>
        <w:t>22</w:t>
      </w:r>
      <w:r w:rsidR="007057F1">
        <w:rPr>
          <w:sz w:val="24"/>
          <w:szCs w:val="24"/>
        </w:rPr>
        <w:t xml:space="preserve"> </w:t>
      </w:r>
      <w:r>
        <w:rPr>
          <w:sz w:val="24"/>
          <w:szCs w:val="24"/>
        </w:rPr>
        <w:t>марта</w:t>
      </w:r>
      <w:r w:rsidR="007057F1">
        <w:rPr>
          <w:sz w:val="24"/>
          <w:szCs w:val="24"/>
        </w:rPr>
        <w:t xml:space="preserve"> 201</w:t>
      </w:r>
      <w:r>
        <w:rPr>
          <w:sz w:val="24"/>
          <w:szCs w:val="24"/>
        </w:rPr>
        <w:t>9</w:t>
      </w:r>
      <w:r w:rsidR="007057F1">
        <w:rPr>
          <w:sz w:val="24"/>
          <w:szCs w:val="24"/>
        </w:rPr>
        <w:t xml:space="preserve"> года </w:t>
      </w:r>
      <w:r>
        <w:rPr>
          <w:sz w:val="24"/>
          <w:szCs w:val="24"/>
        </w:rPr>
        <w:t xml:space="preserve">    </w:t>
      </w:r>
      <w:r w:rsidR="007057F1">
        <w:rPr>
          <w:sz w:val="24"/>
          <w:szCs w:val="24"/>
        </w:rPr>
        <w:t xml:space="preserve">                                                                                </w:t>
      </w:r>
      <w:r w:rsidR="005A40CD">
        <w:rPr>
          <w:sz w:val="24"/>
          <w:szCs w:val="24"/>
        </w:rPr>
        <w:t xml:space="preserve">                  </w:t>
      </w:r>
      <w:r>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496572" w:rsidRPr="00496572" w:rsidRDefault="002627EB" w:rsidP="00496572">
      <w:pPr>
        <w:tabs>
          <w:tab w:val="left" w:pos="567"/>
          <w:tab w:val="left" w:pos="709"/>
        </w:tabs>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496572" w:rsidRPr="00496572">
        <w:rPr>
          <w:sz w:val="24"/>
          <w:szCs w:val="24"/>
        </w:rPr>
        <w:t xml:space="preserve">Чащихина Светлана Георгиевна, Свиридова Татьяна Львовна, </w:t>
      </w:r>
      <w:proofErr w:type="spellStart"/>
      <w:r w:rsidR="00496572" w:rsidRPr="00496572">
        <w:rPr>
          <w:sz w:val="24"/>
          <w:szCs w:val="24"/>
        </w:rPr>
        <w:t>Синюкова</w:t>
      </w:r>
      <w:proofErr w:type="spellEnd"/>
      <w:r w:rsidR="00496572" w:rsidRPr="00496572">
        <w:rPr>
          <w:sz w:val="24"/>
          <w:szCs w:val="24"/>
        </w:rPr>
        <w:t xml:space="preserve"> Ирина Васильевна, Зороян Сурен Георгиевич, Кремнева Наталья Николаевна Анатольевна.</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496572" w:rsidRPr="00496572" w:rsidRDefault="00496572" w:rsidP="00496572">
      <w:pPr>
        <w:numPr>
          <w:ilvl w:val="0"/>
          <w:numId w:val="2"/>
        </w:numPr>
        <w:tabs>
          <w:tab w:val="left" w:pos="567"/>
        </w:tabs>
        <w:ind w:left="0" w:firstLine="360"/>
        <w:jc w:val="both"/>
        <w:rPr>
          <w:sz w:val="24"/>
          <w:szCs w:val="24"/>
        </w:rPr>
      </w:pPr>
      <w:proofErr w:type="gramStart"/>
      <w:r w:rsidRPr="00496572">
        <w:rPr>
          <w:sz w:val="24"/>
          <w:szCs w:val="24"/>
        </w:rPr>
        <w:t xml:space="preserve">Об установлении платы за подключение (технологическое присоединение) к системе теплоснабжения </w:t>
      </w:r>
      <w:proofErr w:type="spellStart"/>
      <w:r w:rsidRPr="00496572">
        <w:rPr>
          <w:sz w:val="24"/>
          <w:szCs w:val="24"/>
        </w:rPr>
        <w:t>Сосновоборского</w:t>
      </w:r>
      <w:proofErr w:type="spellEnd"/>
      <w:r w:rsidRPr="00496572">
        <w:rPr>
          <w:sz w:val="24"/>
          <w:szCs w:val="24"/>
        </w:rPr>
        <w:t xml:space="preserve"> муниципального унитарного предприятия «Теплоснабжающее предприятие»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496572">
        <w:rPr>
          <w:sz w:val="24"/>
          <w:szCs w:val="24"/>
        </w:rPr>
        <w:t>Сосновоборский</w:t>
      </w:r>
      <w:proofErr w:type="spellEnd"/>
      <w:r w:rsidRPr="00496572">
        <w:rPr>
          <w:sz w:val="24"/>
          <w:szCs w:val="24"/>
        </w:rPr>
        <w:t xml:space="preserve"> городской округ» Ленинградской области на 2019 год.</w:t>
      </w:r>
      <w:proofErr w:type="gramEnd"/>
    </w:p>
    <w:p w:rsidR="00496572" w:rsidRPr="00496572" w:rsidRDefault="00496572" w:rsidP="00496572">
      <w:pPr>
        <w:tabs>
          <w:tab w:val="left" w:pos="567"/>
        </w:tabs>
        <w:ind w:left="360"/>
        <w:jc w:val="both"/>
        <w:rPr>
          <w:sz w:val="24"/>
          <w:szCs w:val="24"/>
        </w:rPr>
      </w:pPr>
    </w:p>
    <w:p w:rsidR="00496572" w:rsidRPr="00496572" w:rsidRDefault="00496572" w:rsidP="00496572">
      <w:pPr>
        <w:numPr>
          <w:ilvl w:val="0"/>
          <w:numId w:val="2"/>
        </w:numPr>
        <w:tabs>
          <w:tab w:val="left" w:pos="567"/>
        </w:tabs>
        <w:ind w:left="0" w:firstLine="360"/>
        <w:jc w:val="both"/>
        <w:rPr>
          <w:sz w:val="24"/>
          <w:szCs w:val="24"/>
        </w:rPr>
      </w:pPr>
      <w:r w:rsidRPr="00496572">
        <w:rPr>
          <w:sz w:val="24"/>
          <w:szCs w:val="24"/>
        </w:rPr>
        <w:t>Об установлении стандартизированных тарифных ставок, используемых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Заявителя, на территории Ленинградской области на 2019 год.</w:t>
      </w:r>
    </w:p>
    <w:p w:rsidR="00496572" w:rsidRPr="00496572" w:rsidRDefault="00496572" w:rsidP="00496572">
      <w:pPr>
        <w:jc w:val="both"/>
        <w:rPr>
          <w:sz w:val="24"/>
          <w:szCs w:val="24"/>
        </w:rPr>
      </w:pPr>
    </w:p>
    <w:p w:rsidR="00496572" w:rsidRPr="00496572" w:rsidRDefault="00496572" w:rsidP="00496572">
      <w:pPr>
        <w:ind w:firstLine="567"/>
        <w:jc w:val="both"/>
        <w:rPr>
          <w:bCs/>
          <w:sz w:val="24"/>
          <w:szCs w:val="24"/>
        </w:rPr>
      </w:pPr>
      <w:r>
        <w:rPr>
          <w:b/>
          <w:sz w:val="24"/>
          <w:szCs w:val="24"/>
        </w:rPr>
        <w:t xml:space="preserve">1. </w:t>
      </w:r>
      <w:proofErr w:type="gramStart"/>
      <w:r w:rsidRPr="00496572">
        <w:rPr>
          <w:b/>
          <w:sz w:val="24"/>
          <w:szCs w:val="24"/>
        </w:rPr>
        <w:t xml:space="preserve">По вопросу повестки «Об </w:t>
      </w:r>
      <w:r w:rsidRPr="00496572">
        <w:rPr>
          <w:b/>
          <w:bCs/>
          <w:sz w:val="24"/>
          <w:szCs w:val="24"/>
        </w:rPr>
        <w:t xml:space="preserve">установлении </w:t>
      </w:r>
      <w:r w:rsidRPr="00496572">
        <w:rPr>
          <w:b/>
          <w:sz w:val="24"/>
          <w:szCs w:val="24"/>
        </w:rPr>
        <w:t>платы за подключение</w:t>
      </w:r>
      <w:r w:rsidRPr="00496572">
        <w:rPr>
          <w:b/>
          <w:bCs/>
          <w:sz w:val="24"/>
          <w:szCs w:val="24"/>
        </w:rPr>
        <w:t xml:space="preserve"> (технологическое присоединение) </w:t>
      </w:r>
      <w:r w:rsidRPr="00496572">
        <w:rPr>
          <w:b/>
          <w:sz w:val="24"/>
          <w:szCs w:val="24"/>
        </w:rPr>
        <w:t xml:space="preserve">к системе теплоснабжения </w:t>
      </w:r>
      <w:proofErr w:type="spellStart"/>
      <w:r w:rsidRPr="00496572">
        <w:rPr>
          <w:b/>
          <w:sz w:val="24"/>
          <w:szCs w:val="24"/>
        </w:rPr>
        <w:t>Сосновоборского</w:t>
      </w:r>
      <w:proofErr w:type="spellEnd"/>
      <w:r w:rsidRPr="00496572">
        <w:rPr>
          <w:b/>
          <w:sz w:val="24"/>
          <w:szCs w:val="24"/>
        </w:rPr>
        <w:t xml:space="preserve"> муниципального унитарного предприятия «Теплоснабжающее предприятие» </w:t>
      </w:r>
      <w:r w:rsidRPr="00496572">
        <w:rPr>
          <w:b/>
          <w:bCs/>
          <w:sz w:val="24"/>
          <w:szCs w:val="24"/>
        </w:rPr>
        <w:t>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496572">
        <w:rPr>
          <w:b/>
          <w:bCs/>
          <w:sz w:val="24"/>
          <w:szCs w:val="24"/>
        </w:rPr>
        <w:t>Сосновоборский</w:t>
      </w:r>
      <w:proofErr w:type="spellEnd"/>
      <w:r w:rsidRPr="00496572">
        <w:rPr>
          <w:b/>
          <w:bCs/>
          <w:sz w:val="24"/>
          <w:szCs w:val="24"/>
        </w:rPr>
        <w:t xml:space="preserve"> городской округ» Ленинградской области на 2019 год</w:t>
      </w:r>
      <w:r w:rsidRPr="00496572">
        <w:rPr>
          <w:b/>
          <w:sz w:val="24"/>
          <w:szCs w:val="24"/>
        </w:rPr>
        <w:t>»</w:t>
      </w:r>
      <w:r w:rsidRPr="00496572">
        <w:rPr>
          <w:sz w:val="24"/>
          <w:szCs w:val="24"/>
        </w:rPr>
        <w:t xml:space="preserve"> </w:t>
      </w:r>
      <w:r w:rsidRPr="00496572">
        <w:rPr>
          <w:bCs/>
          <w:sz w:val="24"/>
          <w:szCs w:val="24"/>
        </w:rPr>
        <w:t>выступил</w:t>
      </w:r>
      <w:r w:rsidRPr="00496572">
        <w:rPr>
          <w:b/>
          <w:sz w:val="24"/>
          <w:szCs w:val="24"/>
        </w:rPr>
        <w:t xml:space="preserve"> </w:t>
      </w:r>
      <w:r w:rsidRPr="00496572">
        <w:rPr>
          <w:sz w:val="24"/>
          <w:szCs w:val="24"/>
        </w:rPr>
        <w:t>начальник отдела перспективного</w:t>
      </w:r>
      <w:proofErr w:type="gramEnd"/>
      <w:r w:rsidRPr="00496572">
        <w:rPr>
          <w:sz w:val="24"/>
          <w:szCs w:val="24"/>
        </w:rPr>
        <w:t xml:space="preserve"> развития регулируемых организаций </w:t>
      </w:r>
      <w:r w:rsidRPr="00496572">
        <w:rPr>
          <w:bCs/>
          <w:sz w:val="24"/>
          <w:szCs w:val="24"/>
        </w:rPr>
        <w:t>комитета по тарифам и ценовой политике Ленинградской области Марков А.Е.</w:t>
      </w:r>
      <w:r w:rsidRPr="00496572">
        <w:rPr>
          <w:sz w:val="24"/>
          <w:szCs w:val="24"/>
        </w:rPr>
        <w:t xml:space="preserve">, изложив основные положения </w:t>
      </w:r>
      <w:r w:rsidRPr="00496572">
        <w:rPr>
          <w:snapToGrid w:val="0"/>
          <w:sz w:val="24"/>
          <w:szCs w:val="24"/>
        </w:rPr>
        <w:t xml:space="preserve">заключения ЛенРТК по экономическому обоснованию размера </w:t>
      </w:r>
      <w:r w:rsidRPr="00496572">
        <w:rPr>
          <w:sz w:val="24"/>
          <w:szCs w:val="24"/>
        </w:rPr>
        <w:t>платы за подключение</w:t>
      </w:r>
      <w:r w:rsidRPr="00496572">
        <w:rPr>
          <w:bCs/>
          <w:sz w:val="24"/>
          <w:szCs w:val="24"/>
        </w:rPr>
        <w:t xml:space="preserve"> </w:t>
      </w:r>
      <w:proofErr w:type="gramStart"/>
      <w:r w:rsidRPr="00496572">
        <w:rPr>
          <w:bCs/>
          <w:sz w:val="24"/>
          <w:szCs w:val="24"/>
        </w:rPr>
        <w:t xml:space="preserve">(технологическое присоединение) </w:t>
      </w:r>
      <w:r w:rsidRPr="00496572">
        <w:rPr>
          <w:sz w:val="24"/>
          <w:szCs w:val="24"/>
        </w:rPr>
        <w:t xml:space="preserve">к системе теплоснабжения </w:t>
      </w:r>
      <w:proofErr w:type="spellStart"/>
      <w:r w:rsidRPr="00496572">
        <w:rPr>
          <w:sz w:val="24"/>
          <w:szCs w:val="24"/>
        </w:rPr>
        <w:t>Сосновоборского</w:t>
      </w:r>
      <w:proofErr w:type="spellEnd"/>
      <w:r w:rsidRPr="00496572">
        <w:rPr>
          <w:sz w:val="24"/>
          <w:szCs w:val="24"/>
        </w:rPr>
        <w:t xml:space="preserve"> муниципального унитарного предприятия «Теплоснабжающее предприятие» </w:t>
      </w:r>
      <w:r w:rsidRPr="00496572">
        <w:rPr>
          <w:bCs/>
          <w:sz w:val="24"/>
          <w:szCs w:val="24"/>
        </w:rPr>
        <w:t>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496572">
        <w:rPr>
          <w:bCs/>
          <w:sz w:val="24"/>
          <w:szCs w:val="24"/>
        </w:rPr>
        <w:t>Сосновоборский</w:t>
      </w:r>
      <w:proofErr w:type="spellEnd"/>
      <w:r w:rsidRPr="00496572">
        <w:rPr>
          <w:bCs/>
          <w:sz w:val="24"/>
          <w:szCs w:val="24"/>
        </w:rPr>
        <w:t xml:space="preserve"> городской округ» Ленинградской области на 2019 год</w:t>
      </w:r>
      <w:r w:rsidRPr="00496572">
        <w:rPr>
          <w:snapToGrid w:val="0"/>
          <w:sz w:val="24"/>
          <w:szCs w:val="24"/>
        </w:rPr>
        <w:t>, в</w:t>
      </w:r>
      <w:r w:rsidRPr="00496572">
        <w:rPr>
          <w:sz w:val="24"/>
          <w:szCs w:val="24"/>
        </w:rPr>
        <w:t xml:space="preserve"> соответствии с обращением от </w:t>
      </w:r>
      <w:r w:rsidRPr="00496572">
        <w:rPr>
          <w:bCs/>
          <w:sz w:val="24"/>
          <w:szCs w:val="24"/>
        </w:rPr>
        <w:t xml:space="preserve">21.02.2019 исх. № 02-11-19/229 </w:t>
      </w:r>
      <w:r w:rsidRPr="00496572">
        <w:rPr>
          <w:sz w:val="24"/>
          <w:szCs w:val="24"/>
        </w:rPr>
        <w:t>(</w:t>
      </w:r>
      <w:proofErr w:type="spellStart"/>
      <w:r w:rsidRPr="00496572">
        <w:rPr>
          <w:sz w:val="24"/>
          <w:szCs w:val="24"/>
        </w:rPr>
        <w:t>вх</w:t>
      </w:r>
      <w:proofErr w:type="spellEnd"/>
      <w:r w:rsidRPr="00496572">
        <w:rPr>
          <w:sz w:val="24"/>
          <w:szCs w:val="24"/>
        </w:rPr>
        <w:t xml:space="preserve">. от </w:t>
      </w:r>
      <w:r w:rsidRPr="00496572">
        <w:rPr>
          <w:bCs/>
          <w:sz w:val="24"/>
          <w:szCs w:val="24"/>
        </w:rPr>
        <w:t>21.02.2019</w:t>
      </w:r>
      <w:proofErr w:type="gramEnd"/>
      <w:r w:rsidRPr="00496572">
        <w:rPr>
          <w:bCs/>
          <w:sz w:val="24"/>
          <w:szCs w:val="24"/>
        </w:rPr>
        <w:t xml:space="preserve"> № КТ-1-918/2019</w:t>
      </w:r>
      <w:r w:rsidRPr="00496572">
        <w:rPr>
          <w:sz w:val="24"/>
          <w:szCs w:val="24"/>
        </w:rPr>
        <w:t>).</w:t>
      </w:r>
    </w:p>
    <w:p w:rsidR="00496572" w:rsidRPr="00496572" w:rsidRDefault="00496572" w:rsidP="00496572">
      <w:pPr>
        <w:ind w:firstLine="709"/>
        <w:jc w:val="both"/>
        <w:rPr>
          <w:snapToGrid w:val="0"/>
          <w:sz w:val="24"/>
          <w:szCs w:val="24"/>
        </w:rPr>
      </w:pPr>
      <w:proofErr w:type="gramStart"/>
      <w:r w:rsidRPr="00496572">
        <w:rPr>
          <w:snapToGrid w:val="0"/>
          <w:sz w:val="24"/>
          <w:szCs w:val="24"/>
        </w:rPr>
        <w:t>В своем письме от 20.03.2019 исх. № 02-11-19/353 (</w:t>
      </w:r>
      <w:proofErr w:type="spellStart"/>
      <w:r w:rsidRPr="00496572">
        <w:rPr>
          <w:snapToGrid w:val="0"/>
          <w:sz w:val="24"/>
          <w:szCs w:val="24"/>
        </w:rPr>
        <w:t>вх</w:t>
      </w:r>
      <w:proofErr w:type="spellEnd"/>
      <w:r w:rsidRPr="00496572">
        <w:rPr>
          <w:snapToGrid w:val="0"/>
          <w:sz w:val="24"/>
          <w:szCs w:val="24"/>
        </w:rPr>
        <w:t>.</w:t>
      </w:r>
      <w:proofErr w:type="gramEnd"/>
      <w:r w:rsidRPr="00496572">
        <w:rPr>
          <w:snapToGrid w:val="0"/>
          <w:sz w:val="24"/>
          <w:szCs w:val="24"/>
        </w:rPr>
        <w:t xml:space="preserve"> № </w:t>
      </w:r>
      <w:proofErr w:type="gramStart"/>
      <w:r w:rsidRPr="00496572">
        <w:rPr>
          <w:snapToGrid w:val="0"/>
          <w:sz w:val="24"/>
          <w:szCs w:val="24"/>
        </w:rPr>
        <w:t xml:space="preserve">КТ-1-1390/2019 от 20.03.2019) </w:t>
      </w:r>
      <w:r w:rsidRPr="00496572">
        <w:rPr>
          <w:snapToGrid w:val="0"/>
          <w:sz w:val="24"/>
          <w:szCs w:val="24"/>
        </w:rPr>
        <w:br/>
      </w:r>
      <w:proofErr w:type="spellStart"/>
      <w:r w:rsidRPr="00496572">
        <w:rPr>
          <w:snapToGrid w:val="0"/>
          <w:sz w:val="24"/>
          <w:szCs w:val="24"/>
        </w:rPr>
        <w:t>Сосновоборское</w:t>
      </w:r>
      <w:proofErr w:type="spellEnd"/>
      <w:r w:rsidRPr="00496572">
        <w:rPr>
          <w:snapToGrid w:val="0"/>
          <w:sz w:val="24"/>
          <w:szCs w:val="24"/>
        </w:rPr>
        <w:t xml:space="preserve"> муниципальное унитарное предприятие «Теплоснабжающее предприятие» выразило согласие с предлагаемой ЛенРТК величиной платы и просьбой рассмотреть вопрос в отсутствие своих представителей.</w:t>
      </w:r>
      <w:proofErr w:type="gramEnd"/>
    </w:p>
    <w:p w:rsidR="00496572" w:rsidRPr="00496572" w:rsidRDefault="00496572" w:rsidP="00496572">
      <w:pPr>
        <w:ind w:firstLine="709"/>
        <w:jc w:val="both"/>
        <w:rPr>
          <w:snapToGrid w:val="0"/>
          <w:sz w:val="24"/>
          <w:szCs w:val="24"/>
        </w:rPr>
      </w:pPr>
    </w:p>
    <w:p w:rsidR="00496572" w:rsidRPr="00496572" w:rsidRDefault="00496572" w:rsidP="00496572">
      <w:pPr>
        <w:ind w:firstLine="709"/>
        <w:jc w:val="both"/>
        <w:rPr>
          <w:b/>
          <w:snapToGrid w:val="0"/>
          <w:sz w:val="24"/>
          <w:szCs w:val="24"/>
        </w:rPr>
      </w:pPr>
      <w:r w:rsidRPr="00496572">
        <w:rPr>
          <w:b/>
          <w:snapToGrid w:val="0"/>
          <w:sz w:val="24"/>
          <w:szCs w:val="24"/>
        </w:rPr>
        <w:t>Правление приняло решение:</w:t>
      </w:r>
    </w:p>
    <w:p w:rsidR="00496572" w:rsidRPr="00496572" w:rsidRDefault="00496572" w:rsidP="00496572">
      <w:pPr>
        <w:ind w:firstLine="709"/>
        <w:jc w:val="both"/>
        <w:rPr>
          <w:b/>
          <w:snapToGrid w:val="0"/>
          <w:sz w:val="24"/>
          <w:szCs w:val="24"/>
        </w:rPr>
      </w:pPr>
    </w:p>
    <w:p w:rsidR="00496572" w:rsidRPr="00496572" w:rsidRDefault="00496572" w:rsidP="00496572">
      <w:pPr>
        <w:autoSpaceDE w:val="0"/>
        <w:autoSpaceDN w:val="0"/>
        <w:adjustRightInd w:val="0"/>
        <w:ind w:right="-1" w:firstLine="426"/>
        <w:jc w:val="both"/>
        <w:rPr>
          <w:b/>
          <w:bCs/>
          <w:sz w:val="24"/>
          <w:szCs w:val="24"/>
        </w:rPr>
      </w:pPr>
      <w:r w:rsidRPr="00496572">
        <w:rPr>
          <w:snapToGrid w:val="0"/>
          <w:sz w:val="24"/>
          <w:szCs w:val="24"/>
        </w:rPr>
        <w:t xml:space="preserve">1. </w:t>
      </w:r>
      <w:proofErr w:type="gramStart"/>
      <w:r w:rsidRPr="00496572">
        <w:rPr>
          <w:snapToGrid w:val="0"/>
          <w:sz w:val="24"/>
          <w:szCs w:val="24"/>
        </w:rPr>
        <w:t>Установить плату за подключение</w:t>
      </w:r>
      <w:r w:rsidRPr="00496572">
        <w:rPr>
          <w:bCs/>
          <w:snapToGrid w:val="0"/>
          <w:sz w:val="24"/>
          <w:szCs w:val="24"/>
        </w:rPr>
        <w:t xml:space="preserve"> (технологическое присоединение) </w:t>
      </w:r>
      <w:r w:rsidRPr="00496572">
        <w:rPr>
          <w:snapToGrid w:val="0"/>
          <w:sz w:val="24"/>
          <w:szCs w:val="24"/>
        </w:rPr>
        <w:t xml:space="preserve">к системе теплоснабжения </w:t>
      </w:r>
      <w:proofErr w:type="spellStart"/>
      <w:r w:rsidRPr="00496572">
        <w:rPr>
          <w:bCs/>
          <w:snapToGrid w:val="0"/>
          <w:sz w:val="24"/>
          <w:szCs w:val="24"/>
        </w:rPr>
        <w:t>Сосновоборского</w:t>
      </w:r>
      <w:proofErr w:type="spellEnd"/>
      <w:r w:rsidRPr="00496572">
        <w:rPr>
          <w:bCs/>
          <w:snapToGrid w:val="0"/>
          <w:sz w:val="24"/>
          <w:szCs w:val="24"/>
        </w:rPr>
        <w:t xml:space="preserve"> муниципального унитарного предприятия «Теплоснабжающее предприятие»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496572">
        <w:rPr>
          <w:bCs/>
          <w:snapToGrid w:val="0"/>
          <w:sz w:val="24"/>
          <w:szCs w:val="24"/>
        </w:rPr>
        <w:t>Сосновоборский</w:t>
      </w:r>
      <w:proofErr w:type="spellEnd"/>
      <w:r w:rsidRPr="00496572">
        <w:rPr>
          <w:bCs/>
          <w:snapToGrid w:val="0"/>
          <w:sz w:val="24"/>
          <w:szCs w:val="24"/>
        </w:rPr>
        <w:t xml:space="preserve"> городской округ» Ленинградской области на 2019 год </w:t>
      </w:r>
      <w:r w:rsidRPr="00496572">
        <w:rPr>
          <w:sz w:val="24"/>
          <w:szCs w:val="24"/>
        </w:rPr>
        <w:t>в размере 38,043 тыс. руб./Гкал/ч (см</w:t>
      </w:r>
      <w:proofErr w:type="gramEnd"/>
      <w:r w:rsidRPr="00496572">
        <w:rPr>
          <w:sz w:val="24"/>
          <w:szCs w:val="24"/>
        </w:rPr>
        <w:t>. таблицу)</w:t>
      </w:r>
      <w:r w:rsidRPr="00496572">
        <w:rPr>
          <w:bCs/>
          <w:sz w:val="24"/>
          <w:szCs w:val="24"/>
        </w:rPr>
        <w:t>.</w:t>
      </w:r>
    </w:p>
    <w:p w:rsidR="00496572" w:rsidRPr="00496572" w:rsidRDefault="00496572" w:rsidP="00496572">
      <w:pPr>
        <w:ind w:firstLine="709"/>
        <w:jc w:val="right"/>
        <w:rPr>
          <w:b/>
          <w:bCs/>
          <w:snapToGrid w:val="0"/>
          <w:sz w:val="24"/>
          <w:szCs w:val="24"/>
        </w:rPr>
      </w:pPr>
      <w:r w:rsidRPr="00496572">
        <w:rPr>
          <w:b/>
          <w:bCs/>
          <w:snapToGrid w:val="0"/>
          <w:sz w:val="24"/>
          <w:szCs w:val="24"/>
        </w:rPr>
        <w:lastRenderedPageBreak/>
        <w:t xml:space="preserve">Таблица </w:t>
      </w:r>
    </w:p>
    <w:tbl>
      <w:tblPr>
        <w:tblW w:w="5000" w:type="pct"/>
        <w:tblLook w:val="04A0" w:firstRow="1" w:lastRow="0" w:firstColumn="1" w:lastColumn="0" w:noHBand="0" w:noVBand="1"/>
      </w:tblPr>
      <w:tblGrid>
        <w:gridCol w:w="836"/>
        <w:gridCol w:w="7845"/>
        <w:gridCol w:w="1883"/>
      </w:tblGrid>
      <w:tr w:rsidR="00496572" w:rsidRPr="00496572" w:rsidTr="00496572">
        <w:trPr>
          <w:trHeight w:val="540"/>
        </w:trPr>
        <w:tc>
          <w:tcPr>
            <w:tcW w:w="396" w:type="pct"/>
            <w:tcBorders>
              <w:top w:val="single" w:sz="4" w:space="0" w:color="auto"/>
              <w:left w:val="single" w:sz="4" w:space="0" w:color="auto"/>
              <w:bottom w:val="single" w:sz="4" w:space="0" w:color="auto"/>
              <w:right w:val="single" w:sz="4" w:space="0" w:color="auto"/>
            </w:tcBorders>
            <w:vAlign w:val="center"/>
            <w:hideMark/>
          </w:tcPr>
          <w:p w:rsidR="00496572" w:rsidRPr="00496572" w:rsidRDefault="00496572" w:rsidP="00496572">
            <w:pPr>
              <w:jc w:val="center"/>
              <w:rPr>
                <w:b/>
                <w:bCs/>
              </w:rPr>
            </w:pPr>
            <w:r w:rsidRPr="00496572">
              <w:rPr>
                <w:b/>
                <w:bCs/>
              </w:rPr>
              <w:t xml:space="preserve">№            </w:t>
            </w:r>
            <w:proofErr w:type="gramStart"/>
            <w:r w:rsidRPr="00496572">
              <w:rPr>
                <w:b/>
                <w:bCs/>
              </w:rPr>
              <w:t>п</w:t>
            </w:r>
            <w:proofErr w:type="gramEnd"/>
            <w:r w:rsidRPr="00496572">
              <w:rPr>
                <w:b/>
                <w:bCs/>
              </w:rPr>
              <w:t>/п</w:t>
            </w:r>
          </w:p>
        </w:tc>
        <w:tc>
          <w:tcPr>
            <w:tcW w:w="3713" w:type="pct"/>
            <w:tcBorders>
              <w:top w:val="single" w:sz="4" w:space="0" w:color="auto"/>
              <w:left w:val="nil"/>
              <w:bottom w:val="single" w:sz="4" w:space="0" w:color="auto"/>
              <w:right w:val="single" w:sz="4" w:space="0" w:color="auto"/>
            </w:tcBorders>
            <w:vAlign w:val="center"/>
            <w:hideMark/>
          </w:tcPr>
          <w:p w:rsidR="00496572" w:rsidRPr="00496572" w:rsidRDefault="00496572" w:rsidP="00496572">
            <w:pPr>
              <w:jc w:val="center"/>
              <w:rPr>
                <w:b/>
                <w:bCs/>
              </w:rPr>
            </w:pPr>
            <w:r w:rsidRPr="00496572">
              <w:rPr>
                <w:b/>
                <w:bCs/>
              </w:rPr>
              <w:t xml:space="preserve">Наименование  </w:t>
            </w:r>
          </w:p>
        </w:tc>
        <w:tc>
          <w:tcPr>
            <w:tcW w:w="890" w:type="pct"/>
            <w:tcBorders>
              <w:top w:val="single" w:sz="4" w:space="0" w:color="auto"/>
              <w:left w:val="nil"/>
              <w:bottom w:val="single" w:sz="4" w:space="0" w:color="auto"/>
              <w:right w:val="single" w:sz="4" w:space="0" w:color="auto"/>
            </w:tcBorders>
            <w:vAlign w:val="center"/>
            <w:hideMark/>
          </w:tcPr>
          <w:p w:rsidR="00496572" w:rsidRPr="00496572" w:rsidRDefault="00496572" w:rsidP="00496572">
            <w:pPr>
              <w:jc w:val="center"/>
              <w:rPr>
                <w:b/>
                <w:bCs/>
              </w:rPr>
            </w:pPr>
            <w:r w:rsidRPr="00496572">
              <w:rPr>
                <w:b/>
                <w:bCs/>
              </w:rPr>
              <w:t xml:space="preserve">Значение*, </w:t>
            </w:r>
          </w:p>
          <w:p w:rsidR="00496572" w:rsidRPr="00496572" w:rsidRDefault="00496572" w:rsidP="00496572">
            <w:pPr>
              <w:jc w:val="center"/>
              <w:rPr>
                <w:b/>
                <w:bCs/>
              </w:rPr>
            </w:pPr>
            <w:r w:rsidRPr="00496572">
              <w:rPr>
                <w:b/>
                <w:bCs/>
              </w:rPr>
              <w:t>тыс. руб./Гкал/</w:t>
            </w:r>
            <w:proofErr w:type="gramStart"/>
            <w:r w:rsidRPr="00496572">
              <w:rPr>
                <w:b/>
                <w:bCs/>
              </w:rPr>
              <w:t>ч</w:t>
            </w:r>
            <w:proofErr w:type="gramEnd"/>
          </w:p>
        </w:tc>
      </w:tr>
      <w:tr w:rsidR="00496572" w:rsidRPr="00496572" w:rsidTr="00496572">
        <w:trPr>
          <w:trHeight w:val="60"/>
        </w:trPr>
        <w:tc>
          <w:tcPr>
            <w:tcW w:w="396" w:type="pct"/>
            <w:tcBorders>
              <w:top w:val="nil"/>
              <w:left w:val="single" w:sz="4" w:space="0" w:color="auto"/>
              <w:bottom w:val="single" w:sz="4" w:space="0" w:color="auto"/>
              <w:right w:val="single" w:sz="4" w:space="0" w:color="auto"/>
            </w:tcBorders>
            <w:vAlign w:val="center"/>
            <w:hideMark/>
          </w:tcPr>
          <w:p w:rsidR="00496572" w:rsidRPr="00496572" w:rsidRDefault="00496572" w:rsidP="00496572">
            <w:pPr>
              <w:jc w:val="center"/>
              <w:rPr>
                <w:b/>
                <w:bCs/>
              </w:rPr>
            </w:pPr>
            <w:r w:rsidRPr="00496572">
              <w:rPr>
                <w:b/>
                <w:bCs/>
              </w:rPr>
              <w:t>1</w:t>
            </w:r>
          </w:p>
        </w:tc>
        <w:tc>
          <w:tcPr>
            <w:tcW w:w="3713" w:type="pct"/>
            <w:tcBorders>
              <w:top w:val="nil"/>
              <w:left w:val="nil"/>
              <w:bottom w:val="single" w:sz="4" w:space="0" w:color="auto"/>
              <w:right w:val="single" w:sz="4" w:space="0" w:color="auto"/>
            </w:tcBorders>
            <w:vAlign w:val="center"/>
            <w:hideMark/>
          </w:tcPr>
          <w:p w:rsidR="00496572" w:rsidRPr="00496572" w:rsidRDefault="00496572" w:rsidP="00496572">
            <w:pPr>
              <w:jc w:val="center"/>
              <w:rPr>
                <w:b/>
                <w:bCs/>
              </w:rPr>
            </w:pPr>
            <w:r w:rsidRPr="00496572">
              <w:rPr>
                <w:b/>
                <w:bCs/>
              </w:rPr>
              <w:t>2</w:t>
            </w:r>
          </w:p>
        </w:tc>
        <w:tc>
          <w:tcPr>
            <w:tcW w:w="890" w:type="pct"/>
            <w:tcBorders>
              <w:top w:val="nil"/>
              <w:left w:val="nil"/>
              <w:bottom w:val="single" w:sz="4" w:space="0" w:color="auto"/>
              <w:right w:val="single" w:sz="4" w:space="0" w:color="auto"/>
            </w:tcBorders>
            <w:vAlign w:val="center"/>
            <w:hideMark/>
          </w:tcPr>
          <w:p w:rsidR="00496572" w:rsidRPr="00496572" w:rsidRDefault="00496572" w:rsidP="00496572">
            <w:pPr>
              <w:jc w:val="center"/>
              <w:rPr>
                <w:b/>
                <w:bCs/>
              </w:rPr>
            </w:pPr>
            <w:r w:rsidRPr="00496572">
              <w:rPr>
                <w:b/>
                <w:bCs/>
              </w:rPr>
              <w:t>3</w:t>
            </w:r>
          </w:p>
        </w:tc>
      </w:tr>
      <w:tr w:rsidR="00496572" w:rsidRPr="00496572" w:rsidTr="00496572">
        <w:trPr>
          <w:trHeight w:val="510"/>
        </w:trPr>
        <w:tc>
          <w:tcPr>
            <w:tcW w:w="5000" w:type="pct"/>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496572" w:rsidRPr="00496572" w:rsidRDefault="00496572" w:rsidP="00496572">
            <w:pPr>
              <w:rPr>
                <w:b/>
                <w:bCs/>
              </w:rPr>
            </w:pPr>
            <w:r w:rsidRPr="00496572">
              <w:rPr>
                <w:b/>
                <w:bCs/>
              </w:rPr>
              <w:t>Плата за подключение объектов заявителей, подключаемая тепловая нагрузка которых более 0,1 Гкал/</w:t>
            </w:r>
            <w:proofErr w:type="gramStart"/>
            <w:r w:rsidRPr="00496572">
              <w:rPr>
                <w:b/>
                <w:bCs/>
              </w:rPr>
              <w:t>ч</w:t>
            </w:r>
            <w:proofErr w:type="gramEnd"/>
            <w:r w:rsidRPr="00496572">
              <w:rPr>
                <w:b/>
                <w:bCs/>
              </w:rPr>
              <w:t xml:space="preserve"> и не превышает 1,5 Гкал/ч, в том числе:</w:t>
            </w:r>
          </w:p>
        </w:tc>
      </w:tr>
      <w:tr w:rsidR="00496572" w:rsidRPr="00496572" w:rsidTr="00496572">
        <w:trPr>
          <w:trHeight w:val="60"/>
        </w:trPr>
        <w:tc>
          <w:tcPr>
            <w:tcW w:w="396" w:type="pct"/>
            <w:tcBorders>
              <w:top w:val="nil"/>
              <w:left w:val="single" w:sz="4" w:space="0" w:color="auto"/>
              <w:bottom w:val="single" w:sz="4" w:space="0" w:color="auto"/>
              <w:right w:val="single" w:sz="4" w:space="0" w:color="auto"/>
            </w:tcBorders>
            <w:noWrap/>
            <w:vAlign w:val="center"/>
            <w:hideMark/>
          </w:tcPr>
          <w:p w:rsidR="00496572" w:rsidRPr="00496572" w:rsidRDefault="00496572" w:rsidP="00496572">
            <w:pPr>
              <w:jc w:val="center"/>
            </w:pPr>
            <w:r w:rsidRPr="00496572">
              <w:t>1.</w:t>
            </w:r>
          </w:p>
        </w:tc>
        <w:tc>
          <w:tcPr>
            <w:tcW w:w="3713" w:type="pct"/>
            <w:tcBorders>
              <w:top w:val="nil"/>
              <w:left w:val="nil"/>
              <w:bottom w:val="single" w:sz="4" w:space="0" w:color="auto"/>
              <w:right w:val="single" w:sz="4" w:space="0" w:color="auto"/>
            </w:tcBorders>
            <w:vAlign w:val="center"/>
            <w:hideMark/>
          </w:tcPr>
          <w:p w:rsidR="00496572" w:rsidRPr="00496572" w:rsidRDefault="00496572" w:rsidP="00496572">
            <w:pPr>
              <w:jc w:val="both"/>
            </w:pPr>
            <w:r w:rsidRPr="00496572">
              <w:t>Расходы на проведение мероприятий по подключению объектов заявителей (П</w:t>
            </w:r>
            <w:proofErr w:type="gramStart"/>
            <w:r w:rsidRPr="00496572">
              <w:t>1</w:t>
            </w:r>
            <w:proofErr w:type="gramEnd"/>
            <w:r w:rsidRPr="00496572">
              <w:t>)</w:t>
            </w:r>
          </w:p>
        </w:tc>
        <w:tc>
          <w:tcPr>
            <w:tcW w:w="890" w:type="pct"/>
            <w:tcBorders>
              <w:top w:val="nil"/>
              <w:left w:val="nil"/>
              <w:bottom w:val="single" w:sz="4" w:space="0" w:color="auto"/>
              <w:right w:val="single" w:sz="4" w:space="0" w:color="auto"/>
            </w:tcBorders>
            <w:noWrap/>
            <w:vAlign w:val="center"/>
            <w:hideMark/>
          </w:tcPr>
          <w:p w:rsidR="00496572" w:rsidRPr="00496572" w:rsidRDefault="00496572" w:rsidP="00496572">
            <w:pPr>
              <w:jc w:val="center"/>
            </w:pPr>
            <w:r w:rsidRPr="00496572">
              <w:t>38,043</w:t>
            </w:r>
          </w:p>
        </w:tc>
      </w:tr>
      <w:tr w:rsidR="00496572" w:rsidRPr="00496572" w:rsidTr="00496572">
        <w:trPr>
          <w:trHeight w:val="831"/>
        </w:trPr>
        <w:tc>
          <w:tcPr>
            <w:tcW w:w="396" w:type="pct"/>
            <w:tcBorders>
              <w:top w:val="nil"/>
              <w:left w:val="single" w:sz="4" w:space="0" w:color="auto"/>
              <w:bottom w:val="single" w:sz="4" w:space="0" w:color="auto"/>
              <w:right w:val="single" w:sz="4" w:space="0" w:color="auto"/>
            </w:tcBorders>
            <w:noWrap/>
            <w:vAlign w:val="center"/>
            <w:hideMark/>
          </w:tcPr>
          <w:p w:rsidR="00496572" w:rsidRPr="00496572" w:rsidRDefault="00496572" w:rsidP="00496572">
            <w:pPr>
              <w:jc w:val="center"/>
            </w:pPr>
            <w:r w:rsidRPr="00496572">
              <w:t>2.</w:t>
            </w:r>
          </w:p>
        </w:tc>
        <w:tc>
          <w:tcPr>
            <w:tcW w:w="3713" w:type="pct"/>
            <w:tcBorders>
              <w:top w:val="nil"/>
              <w:left w:val="nil"/>
              <w:bottom w:val="single" w:sz="4" w:space="0" w:color="auto"/>
              <w:right w:val="single" w:sz="4" w:space="0" w:color="auto"/>
            </w:tcBorders>
            <w:vAlign w:val="center"/>
            <w:hideMark/>
          </w:tcPr>
          <w:p w:rsidR="00496572" w:rsidRPr="00496572" w:rsidRDefault="00496572" w:rsidP="00496572">
            <w:pPr>
              <w:jc w:val="both"/>
            </w:pPr>
            <w:r w:rsidRPr="00496572">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496572">
              <w:t>П</w:t>
            </w:r>
            <w:proofErr w:type="gramEnd"/>
            <w:r w:rsidRPr="00496572">
              <w:t xml:space="preserve"> 2.1), в том числе:</w:t>
            </w:r>
          </w:p>
        </w:tc>
        <w:tc>
          <w:tcPr>
            <w:tcW w:w="890" w:type="pct"/>
            <w:tcBorders>
              <w:top w:val="nil"/>
              <w:left w:val="nil"/>
              <w:bottom w:val="single" w:sz="4" w:space="0" w:color="auto"/>
              <w:right w:val="single" w:sz="4" w:space="0" w:color="auto"/>
            </w:tcBorders>
            <w:noWrap/>
            <w:vAlign w:val="center"/>
            <w:hideMark/>
          </w:tcPr>
          <w:p w:rsidR="00496572" w:rsidRPr="00496572" w:rsidRDefault="00496572" w:rsidP="00496572">
            <w:pPr>
              <w:jc w:val="center"/>
            </w:pPr>
            <w:r w:rsidRPr="00496572">
              <w:t>0,00</w:t>
            </w:r>
          </w:p>
        </w:tc>
      </w:tr>
      <w:tr w:rsidR="00496572" w:rsidRPr="00496572" w:rsidTr="00496572">
        <w:trPr>
          <w:trHeight w:val="60"/>
        </w:trPr>
        <w:tc>
          <w:tcPr>
            <w:tcW w:w="396" w:type="pct"/>
            <w:tcBorders>
              <w:top w:val="nil"/>
              <w:left w:val="single" w:sz="4" w:space="0" w:color="auto"/>
              <w:bottom w:val="single" w:sz="4" w:space="0" w:color="auto"/>
              <w:right w:val="single" w:sz="4" w:space="0" w:color="auto"/>
            </w:tcBorders>
            <w:noWrap/>
            <w:vAlign w:val="center"/>
            <w:hideMark/>
          </w:tcPr>
          <w:p w:rsidR="00496572" w:rsidRPr="00496572" w:rsidRDefault="00496572" w:rsidP="00496572">
            <w:pPr>
              <w:jc w:val="center"/>
            </w:pPr>
            <w:r w:rsidRPr="00496572">
              <w:t>2.1.</w:t>
            </w:r>
          </w:p>
        </w:tc>
        <w:tc>
          <w:tcPr>
            <w:tcW w:w="3713" w:type="pct"/>
            <w:tcBorders>
              <w:top w:val="nil"/>
              <w:left w:val="nil"/>
              <w:bottom w:val="single" w:sz="4" w:space="0" w:color="auto"/>
              <w:right w:val="single" w:sz="4" w:space="0" w:color="auto"/>
            </w:tcBorders>
            <w:vAlign w:val="center"/>
            <w:hideMark/>
          </w:tcPr>
          <w:p w:rsidR="00496572" w:rsidRPr="00496572" w:rsidRDefault="00496572" w:rsidP="00496572">
            <w:pPr>
              <w:jc w:val="both"/>
            </w:pPr>
            <w:r w:rsidRPr="00496572">
              <w:t>Надземная (наземная) прокладка</w:t>
            </w:r>
          </w:p>
        </w:tc>
        <w:tc>
          <w:tcPr>
            <w:tcW w:w="890" w:type="pct"/>
            <w:tcBorders>
              <w:top w:val="nil"/>
              <w:left w:val="nil"/>
              <w:bottom w:val="single" w:sz="4" w:space="0" w:color="auto"/>
              <w:right w:val="single" w:sz="4" w:space="0" w:color="auto"/>
            </w:tcBorders>
            <w:noWrap/>
            <w:vAlign w:val="center"/>
            <w:hideMark/>
          </w:tcPr>
          <w:p w:rsidR="00496572" w:rsidRPr="00496572" w:rsidRDefault="00496572" w:rsidP="00496572">
            <w:pPr>
              <w:jc w:val="center"/>
            </w:pPr>
            <w:r w:rsidRPr="00496572">
              <w:t>0,00</w:t>
            </w:r>
          </w:p>
        </w:tc>
      </w:tr>
      <w:tr w:rsidR="00496572" w:rsidRPr="00496572" w:rsidTr="00496572">
        <w:trPr>
          <w:trHeight w:val="60"/>
        </w:trPr>
        <w:tc>
          <w:tcPr>
            <w:tcW w:w="396" w:type="pct"/>
            <w:tcBorders>
              <w:top w:val="single" w:sz="4" w:space="0" w:color="auto"/>
              <w:left w:val="single" w:sz="4" w:space="0" w:color="auto"/>
              <w:bottom w:val="single" w:sz="4" w:space="0" w:color="auto"/>
              <w:right w:val="single" w:sz="4" w:space="0" w:color="auto"/>
            </w:tcBorders>
            <w:noWrap/>
            <w:vAlign w:val="center"/>
            <w:hideMark/>
          </w:tcPr>
          <w:p w:rsidR="00496572" w:rsidRPr="00496572" w:rsidRDefault="00496572" w:rsidP="00496572">
            <w:pPr>
              <w:jc w:val="center"/>
            </w:pPr>
            <w:r w:rsidRPr="00496572">
              <w:t>2.2.</w:t>
            </w:r>
          </w:p>
        </w:tc>
        <w:tc>
          <w:tcPr>
            <w:tcW w:w="3713" w:type="pct"/>
            <w:tcBorders>
              <w:top w:val="single" w:sz="4" w:space="0" w:color="auto"/>
              <w:left w:val="single" w:sz="4" w:space="0" w:color="auto"/>
              <w:bottom w:val="single" w:sz="4" w:space="0" w:color="auto"/>
              <w:right w:val="single" w:sz="4" w:space="0" w:color="auto"/>
            </w:tcBorders>
            <w:vAlign w:val="center"/>
            <w:hideMark/>
          </w:tcPr>
          <w:p w:rsidR="00496572" w:rsidRPr="00496572" w:rsidRDefault="00496572" w:rsidP="00496572">
            <w:pPr>
              <w:jc w:val="both"/>
            </w:pPr>
            <w:r w:rsidRPr="00496572">
              <w:t>Подземная прокладка, в том числе:</w:t>
            </w:r>
          </w:p>
        </w:tc>
        <w:tc>
          <w:tcPr>
            <w:tcW w:w="890" w:type="pct"/>
            <w:tcBorders>
              <w:top w:val="single" w:sz="4" w:space="0" w:color="auto"/>
              <w:left w:val="single" w:sz="4" w:space="0" w:color="auto"/>
              <w:bottom w:val="single" w:sz="4" w:space="0" w:color="auto"/>
              <w:right w:val="single" w:sz="4" w:space="0" w:color="auto"/>
            </w:tcBorders>
            <w:noWrap/>
            <w:vAlign w:val="center"/>
            <w:hideMark/>
          </w:tcPr>
          <w:p w:rsidR="00496572" w:rsidRPr="00496572" w:rsidRDefault="00496572" w:rsidP="00496572">
            <w:pPr>
              <w:jc w:val="center"/>
            </w:pPr>
            <w:r w:rsidRPr="00496572">
              <w:t>0,00</w:t>
            </w:r>
          </w:p>
        </w:tc>
      </w:tr>
      <w:tr w:rsidR="00496572" w:rsidRPr="00496572" w:rsidTr="00496572">
        <w:trPr>
          <w:trHeight w:val="342"/>
        </w:trPr>
        <w:tc>
          <w:tcPr>
            <w:tcW w:w="396" w:type="pct"/>
            <w:tcBorders>
              <w:top w:val="single" w:sz="4" w:space="0" w:color="auto"/>
              <w:left w:val="single" w:sz="4" w:space="0" w:color="auto"/>
              <w:bottom w:val="single" w:sz="4" w:space="0" w:color="auto"/>
              <w:right w:val="single" w:sz="4" w:space="0" w:color="auto"/>
            </w:tcBorders>
            <w:noWrap/>
            <w:vAlign w:val="center"/>
            <w:hideMark/>
          </w:tcPr>
          <w:p w:rsidR="00496572" w:rsidRPr="00496572" w:rsidRDefault="00496572" w:rsidP="00496572">
            <w:pPr>
              <w:jc w:val="center"/>
            </w:pPr>
            <w:r w:rsidRPr="00496572">
              <w:t>2.2.1.</w:t>
            </w:r>
          </w:p>
        </w:tc>
        <w:tc>
          <w:tcPr>
            <w:tcW w:w="3713" w:type="pct"/>
            <w:tcBorders>
              <w:top w:val="single" w:sz="4" w:space="0" w:color="auto"/>
              <w:left w:val="nil"/>
              <w:bottom w:val="single" w:sz="4" w:space="0" w:color="auto"/>
              <w:right w:val="single" w:sz="4" w:space="0" w:color="auto"/>
            </w:tcBorders>
            <w:vAlign w:val="center"/>
            <w:hideMark/>
          </w:tcPr>
          <w:p w:rsidR="00496572" w:rsidRPr="00496572" w:rsidRDefault="00496572" w:rsidP="00496572">
            <w:pPr>
              <w:jc w:val="both"/>
            </w:pPr>
            <w:r w:rsidRPr="00496572">
              <w:t>канальная прокладка</w:t>
            </w:r>
          </w:p>
        </w:tc>
        <w:tc>
          <w:tcPr>
            <w:tcW w:w="890" w:type="pct"/>
            <w:tcBorders>
              <w:top w:val="single" w:sz="4" w:space="0" w:color="auto"/>
              <w:left w:val="nil"/>
              <w:bottom w:val="single" w:sz="4" w:space="0" w:color="auto"/>
              <w:right w:val="single" w:sz="4" w:space="0" w:color="auto"/>
            </w:tcBorders>
            <w:noWrap/>
            <w:vAlign w:val="center"/>
            <w:hideMark/>
          </w:tcPr>
          <w:p w:rsidR="00496572" w:rsidRPr="00496572" w:rsidRDefault="00496572" w:rsidP="00496572">
            <w:pPr>
              <w:jc w:val="center"/>
            </w:pPr>
            <w:r w:rsidRPr="00496572">
              <w:t>0,00</w:t>
            </w:r>
          </w:p>
        </w:tc>
      </w:tr>
      <w:tr w:rsidR="00496572" w:rsidRPr="00496572" w:rsidTr="00496572">
        <w:trPr>
          <w:trHeight w:val="60"/>
        </w:trPr>
        <w:tc>
          <w:tcPr>
            <w:tcW w:w="396" w:type="pct"/>
            <w:tcBorders>
              <w:top w:val="nil"/>
              <w:left w:val="single" w:sz="4" w:space="0" w:color="auto"/>
              <w:bottom w:val="single" w:sz="4" w:space="0" w:color="auto"/>
              <w:right w:val="single" w:sz="4" w:space="0" w:color="auto"/>
            </w:tcBorders>
            <w:noWrap/>
            <w:vAlign w:val="center"/>
            <w:hideMark/>
          </w:tcPr>
          <w:p w:rsidR="00496572" w:rsidRPr="00496572" w:rsidRDefault="00496572" w:rsidP="00496572">
            <w:pPr>
              <w:jc w:val="center"/>
            </w:pPr>
            <w:r w:rsidRPr="00496572">
              <w:t>2.2.2.</w:t>
            </w:r>
          </w:p>
        </w:tc>
        <w:tc>
          <w:tcPr>
            <w:tcW w:w="3713" w:type="pct"/>
            <w:tcBorders>
              <w:top w:val="nil"/>
              <w:left w:val="nil"/>
              <w:bottom w:val="single" w:sz="4" w:space="0" w:color="auto"/>
              <w:right w:val="single" w:sz="4" w:space="0" w:color="auto"/>
            </w:tcBorders>
            <w:vAlign w:val="center"/>
            <w:hideMark/>
          </w:tcPr>
          <w:p w:rsidR="00496572" w:rsidRPr="00496572" w:rsidRDefault="00496572" w:rsidP="00496572">
            <w:pPr>
              <w:jc w:val="both"/>
            </w:pPr>
            <w:proofErr w:type="spellStart"/>
            <w:r w:rsidRPr="00496572">
              <w:t>бесканальная</w:t>
            </w:r>
            <w:proofErr w:type="spellEnd"/>
            <w:r w:rsidRPr="00496572">
              <w:t xml:space="preserve"> прокладка</w:t>
            </w:r>
          </w:p>
        </w:tc>
        <w:tc>
          <w:tcPr>
            <w:tcW w:w="890" w:type="pct"/>
            <w:tcBorders>
              <w:top w:val="nil"/>
              <w:left w:val="nil"/>
              <w:bottom w:val="single" w:sz="4" w:space="0" w:color="auto"/>
              <w:right w:val="single" w:sz="4" w:space="0" w:color="auto"/>
            </w:tcBorders>
            <w:noWrap/>
            <w:vAlign w:val="center"/>
            <w:hideMark/>
          </w:tcPr>
          <w:p w:rsidR="00496572" w:rsidRPr="00496572" w:rsidRDefault="00496572" w:rsidP="00496572">
            <w:pPr>
              <w:jc w:val="center"/>
            </w:pPr>
            <w:r w:rsidRPr="00496572">
              <w:t>0,00</w:t>
            </w:r>
          </w:p>
        </w:tc>
      </w:tr>
      <w:tr w:rsidR="00496572" w:rsidRPr="00496572" w:rsidTr="00496572">
        <w:trPr>
          <w:trHeight w:val="60"/>
        </w:trPr>
        <w:tc>
          <w:tcPr>
            <w:tcW w:w="396" w:type="pct"/>
            <w:tcBorders>
              <w:top w:val="nil"/>
              <w:left w:val="single" w:sz="4" w:space="0" w:color="auto"/>
              <w:bottom w:val="single" w:sz="4" w:space="0" w:color="auto"/>
              <w:right w:val="single" w:sz="4" w:space="0" w:color="auto"/>
            </w:tcBorders>
            <w:noWrap/>
            <w:vAlign w:val="center"/>
            <w:hideMark/>
          </w:tcPr>
          <w:p w:rsidR="00496572" w:rsidRPr="00496572" w:rsidRDefault="00496572" w:rsidP="00496572">
            <w:pPr>
              <w:jc w:val="center"/>
            </w:pPr>
            <w:r w:rsidRPr="00496572">
              <w:t>3.</w:t>
            </w:r>
          </w:p>
        </w:tc>
        <w:tc>
          <w:tcPr>
            <w:tcW w:w="3713" w:type="pct"/>
            <w:tcBorders>
              <w:top w:val="nil"/>
              <w:left w:val="nil"/>
              <w:bottom w:val="single" w:sz="4" w:space="0" w:color="auto"/>
              <w:right w:val="single" w:sz="4" w:space="0" w:color="auto"/>
            </w:tcBorders>
            <w:vAlign w:val="center"/>
            <w:hideMark/>
          </w:tcPr>
          <w:p w:rsidR="00496572" w:rsidRPr="00496572" w:rsidRDefault="00496572" w:rsidP="00496572">
            <w:pPr>
              <w:jc w:val="both"/>
            </w:pPr>
            <w:r w:rsidRPr="00496572">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496572">
              <w:t>2</w:t>
            </w:r>
            <w:proofErr w:type="gramEnd"/>
            <w:r w:rsidRPr="00496572">
              <w:t>.2)</w:t>
            </w:r>
          </w:p>
        </w:tc>
        <w:tc>
          <w:tcPr>
            <w:tcW w:w="890" w:type="pct"/>
            <w:tcBorders>
              <w:top w:val="nil"/>
              <w:left w:val="nil"/>
              <w:bottom w:val="single" w:sz="4" w:space="0" w:color="auto"/>
              <w:right w:val="single" w:sz="4" w:space="0" w:color="auto"/>
            </w:tcBorders>
            <w:noWrap/>
            <w:vAlign w:val="center"/>
            <w:hideMark/>
          </w:tcPr>
          <w:p w:rsidR="00496572" w:rsidRPr="00496572" w:rsidRDefault="00496572" w:rsidP="00496572">
            <w:pPr>
              <w:jc w:val="center"/>
            </w:pPr>
            <w:r w:rsidRPr="00496572">
              <w:t>0,00</w:t>
            </w:r>
          </w:p>
        </w:tc>
      </w:tr>
      <w:tr w:rsidR="00496572" w:rsidRPr="00496572" w:rsidTr="00496572">
        <w:trPr>
          <w:trHeight w:val="60"/>
        </w:trPr>
        <w:tc>
          <w:tcPr>
            <w:tcW w:w="396" w:type="pct"/>
            <w:tcBorders>
              <w:top w:val="nil"/>
              <w:left w:val="single" w:sz="4" w:space="0" w:color="auto"/>
              <w:bottom w:val="single" w:sz="4" w:space="0" w:color="auto"/>
              <w:right w:val="single" w:sz="4" w:space="0" w:color="auto"/>
            </w:tcBorders>
            <w:noWrap/>
            <w:vAlign w:val="center"/>
            <w:hideMark/>
          </w:tcPr>
          <w:p w:rsidR="00496572" w:rsidRPr="00496572" w:rsidRDefault="00496572" w:rsidP="00496572">
            <w:pPr>
              <w:jc w:val="center"/>
            </w:pPr>
            <w:r w:rsidRPr="00496572">
              <w:t>4.</w:t>
            </w:r>
          </w:p>
        </w:tc>
        <w:tc>
          <w:tcPr>
            <w:tcW w:w="3713" w:type="pct"/>
            <w:tcBorders>
              <w:top w:val="nil"/>
              <w:left w:val="nil"/>
              <w:bottom w:val="single" w:sz="4" w:space="0" w:color="auto"/>
              <w:right w:val="single" w:sz="4" w:space="0" w:color="auto"/>
            </w:tcBorders>
            <w:vAlign w:val="center"/>
            <w:hideMark/>
          </w:tcPr>
          <w:p w:rsidR="00496572" w:rsidRPr="00496572" w:rsidRDefault="00496572" w:rsidP="00496572">
            <w:pPr>
              <w:jc w:val="both"/>
            </w:pPr>
            <w:r w:rsidRPr="00496572">
              <w:t>Налог на прибыль</w:t>
            </w:r>
          </w:p>
        </w:tc>
        <w:tc>
          <w:tcPr>
            <w:tcW w:w="890" w:type="pct"/>
            <w:tcBorders>
              <w:top w:val="nil"/>
              <w:left w:val="nil"/>
              <w:bottom w:val="single" w:sz="4" w:space="0" w:color="auto"/>
              <w:right w:val="single" w:sz="4" w:space="0" w:color="auto"/>
            </w:tcBorders>
            <w:noWrap/>
            <w:vAlign w:val="center"/>
            <w:hideMark/>
          </w:tcPr>
          <w:p w:rsidR="00496572" w:rsidRPr="00496572" w:rsidRDefault="00496572" w:rsidP="00496572">
            <w:pPr>
              <w:jc w:val="center"/>
            </w:pPr>
            <w:r w:rsidRPr="00496572">
              <w:t>0,00</w:t>
            </w:r>
          </w:p>
        </w:tc>
      </w:tr>
    </w:tbl>
    <w:p w:rsidR="00496572" w:rsidRPr="00496572" w:rsidRDefault="00496572" w:rsidP="00496572">
      <w:pPr>
        <w:widowControl w:val="0"/>
        <w:autoSpaceDE w:val="0"/>
        <w:autoSpaceDN w:val="0"/>
        <w:adjustRightInd w:val="0"/>
        <w:rPr>
          <w:rFonts w:eastAsia="Calibri"/>
          <w:b/>
          <w:sz w:val="24"/>
          <w:szCs w:val="24"/>
          <w:lang w:eastAsia="en-US"/>
        </w:rPr>
      </w:pPr>
      <w:r w:rsidRPr="00496572">
        <w:t xml:space="preserve">      *  Плата указана без учета налога на добавленную стоимость</w:t>
      </w:r>
    </w:p>
    <w:p w:rsidR="00496572" w:rsidRPr="00496572" w:rsidRDefault="00496572" w:rsidP="00496572">
      <w:pPr>
        <w:widowControl w:val="0"/>
        <w:autoSpaceDE w:val="0"/>
        <w:autoSpaceDN w:val="0"/>
        <w:adjustRightInd w:val="0"/>
        <w:jc w:val="center"/>
        <w:rPr>
          <w:rFonts w:eastAsia="Calibri"/>
          <w:b/>
          <w:sz w:val="24"/>
          <w:szCs w:val="24"/>
          <w:lang w:eastAsia="en-US"/>
        </w:rPr>
      </w:pPr>
    </w:p>
    <w:p w:rsidR="00496572" w:rsidRPr="00496572" w:rsidRDefault="00496572" w:rsidP="00496572">
      <w:pPr>
        <w:ind w:right="-144"/>
        <w:jc w:val="center"/>
        <w:rPr>
          <w:b/>
          <w:sz w:val="24"/>
          <w:szCs w:val="24"/>
        </w:rPr>
      </w:pPr>
      <w:r w:rsidRPr="00496572">
        <w:rPr>
          <w:b/>
          <w:sz w:val="24"/>
          <w:szCs w:val="24"/>
        </w:rPr>
        <w:t>Результаты голосования: за – 6 человек, против – нет, воздержались – нет.</w:t>
      </w:r>
    </w:p>
    <w:p w:rsidR="007057F1" w:rsidRDefault="007057F1" w:rsidP="007057F1">
      <w:pPr>
        <w:autoSpaceDE w:val="0"/>
        <w:autoSpaceDN w:val="0"/>
        <w:adjustRightInd w:val="0"/>
        <w:ind w:right="-1"/>
        <w:jc w:val="both"/>
        <w:rPr>
          <w:sz w:val="24"/>
          <w:szCs w:val="24"/>
        </w:rPr>
      </w:pPr>
    </w:p>
    <w:p w:rsidR="00496572" w:rsidRPr="00496572" w:rsidRDefault="00496572" w:rsidP="00496572">
      <w:pPr>
        <w:ind w:firstLine="567"/>
        <w:jc w:val="both"/>
        <w:rPr>
          <w:sz w:val="24"/>
          <w:szCs w:val="24"/>
        </w:rPr>
      </w:pPr>
      <w:r>
        <w:rPr>
          <w:b/>
          <w:sz w:val="24"/>
          <w:szCs w:val="24"/>
          <w:lang w:eastAsia="x-none"/>
        </w:rPr>
        <w:t xml:space="preserve">2. </w:t>
      </w:r>
      <w:proofErr w:type="gramStart"/>
      <w:r w:rsidRPr="00496572">
        <w:rPr>
          <w:b/>
          <w:sz w:val="24"/>
          <w:szCs w:val="24"/>
          <w:lang w:eastAsia="x-none"/>
        </w:rPr>
        <w:t>По вопросу повестки дня «Об установлении стандартизированных тарифных ставок, используемых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Заявителя,  на территории Ленинградской области на 2019 год»</w:t>
      </w:r>
      <w:r w:rsidRPr="00496572">
        <w:rPr>
          <w:sz w:val="24"/>
          <w:szCs w:val="24"/>
          <w:lang w:eastAsia="x-none"/>
        </w:rPr>
        <w:t xml:space="preserve"> выступил Марков А.Е. – начальник отдела перспективного развития регулируемых организаций, изложив основные положения экспертного заключения по экономическому обоснованию расчета стандартизированных тарифных ставок, используемых газораспределительными</w:t>
      </w:r>
      <w:proofErr w:type="gramEnd"/>
      <w:r w:rsidRPr="00496572">
        <w:rPr>
          <w:sz w:val="24"/>
          <w:szCs w:val="24"/>
          <w:lang w:eastAsia="x-none"/>
        </w:rPr>
        <w:t xml:space="preserve"> организациями Ленинградской области для определения размера платы за технологическое присоединение внутри границ земельного участка Заявителя, на территории Ленинградской области на 2019 год</w:t>
      </w:r>
      <w:r w:rsidRPr="00496572">
        <w:rPr>
          <w:sz w:val="24"/>
          <w:szCs w:val="24"/>
        </w:rPr>
        <w:t>.</w:t>
      </w:r>
    </w:p>
    <w:p w:rsidR="00496572" w:rsidRPr="00496572" w:rsidRDefault="00496572" w:rsidP="00496572">
      <w:pPr>
        <w:ind w:firstLine="567"/>
        <w:jc w:val="both"/>
        <w:rPr>
          <w:sz w:val="24"/>
          <w:szCs w:val="24"/>
          <w:lang w:eastAsia="x-none"/>
        </w:rPr>
      </w:pPr>
      <w:r w:rsidRPr="00496572">
        <w:rPr>
          <w:sz w:val="24"/>
          <w:szCs w:val="24"/>
          <w:lang w:eastAsia="x-none"/>
        </w:rPr>
        <w:t xml:space="preserve">АО «Газпром газораспределение Ленинградская область» и ЗАО «СЗИПК» представлены письма о согласии с предлагаемым уровнем стандартизированных тарифных ставок и просьбой </w:t>
      </w:r>
      <w:proofErr w:type="gramStart"/>
      <w:r w:rsidRPr="00496572">
        <w:rPr>
          <w:sz w:val="24"/>
          <w:szCs w:val="24"/>
          <w:lang w:eastAsia="x-none"/>
        </w:rPr>
        <w:t>рассмотреть</w:t>
      </w:r>
      <w:proofErr w:type="gramEnd"/>
      <w:r w:rsidRPr="00496572">
        <w:rPr>
          <w:sz w:val="24"/>
          <w:szCs w:val="24"/>
          <w:lang w:eastAsia="x-none"/>
        </w:rPr>
        <w:t xml:space="preserve"> вопрос в отсутствие своих представителей (</w:t>
      </w:r>
      <w:proofErr w:type="spellStart"/>
      <w:r w:rsidRPr="00496572">
        <w:rPr>
          <w:sz w:val="24"/>
          <w:szCs w:val="24"/>
          <w:lang w:eastAsia="x-none"/>
        </w:rPr>
        <w:t>вх</w:t>
      </w:r>
      <w:proofErr w:type="spellEnd"/>
      <w:r w:rsidRPr="00496572">
        <w:rPr>
          <w:sz w:val="24"/>
          <w:szCs w:val="24"/>
          <w:lang w:eastAsia="x-none"/>
        </w:rPr>
        <w:t xml:space="preserve">. от 21.03.2019 № КТ-1-1427/2019 и </w:t>
      </w:r>
      <w:r w:rsidRPr="00496572">
        <w:rPr>
          <w:sz w:val="24"/>
          <w:szCs w:val="24"/>
          <w:lang w:eastAsia="x-none"/>
        </w:rPr>
        <w:br/>
        <w:t>от 22.03.2019 № КТ-1-1447/2019).</w:t>
      </w:r>
    </w:p>
    <w:p w:rsidR="00496572" w:rsidRPr="00496572" w:rsidRDefault="00496572" w:rsidP="00496572">
      <w:pPr>
        <w:ind w:firstLine="567"/>
        <w:jc w:val="both"/>
        <w:rPr>
          <w:sz w:val="24"/>
          <w:szCs w:val="24"/>
          <w:lang w:eastAsia="x-none"/>
        </w:rPr>
      </w:pPr>
      <w:r w:rsidRPr="00496572">
        <w:rPr>
          <w:sz w:val="24"/>
          <w:szCs w:val="24"/>
          <w:lang w:eastAsia="x-none"/>
        </w:rPr>
        <w:t xml:space="preserve">Приглашение на заседание Правления </w:t>
      </w:r>
      <w:proofErr w:type="spellStart"/>
      <w:r w:rsidRPr="00496572">
        <w:rPr>
          <w:sz w:val="24"/>
          <w:szCs w:val="24"/>
          <w:lang w:eastAsia="x-none"/>
        </w:rPr>
        <w:t>ЛенРТК</w:t>
      </w:r>
      <w:proofErr w:type="spellEnd"/>
      <w:r w:rsidRPr="00496572">
        <w:rPr>
          <w:sz w:val="24"/>
          <w:szCs w:val="24"/>
          <w:lang w:eastAsia="x-none"/>
        </w:rPr>
        <w:t xml:space="preserve"> ООО «</w:t>
      </w:r>
      <w:proofErr w:type="spellStart"/>
      <w:r w:rsidRPr="00496572">
        <w:rPr>
          <w:sz w:val="24"/>
          <w:szCs w:val="24"/>
          <w:lang w:eastAsia="x-none"/>
        </w:rPr>
        <w:t>Петербурггаз</w:t>
      </w:r>
      <w:proofErr w:type="spellEnd"/>
      <w:r w:rsidRPr="00496572">
        <w:rPr>
          <w:sz w:val="24"/>
          <w:szCs w:val="24"/>
          <w:lang w:eastAsia="x-none"/>
        </w:rPr>
        <w:t>» было направлено 18.03.2019 № КТ-3-957/2019. На заседание Правления ЛенРТК представитель Организации не явился, не предоставив в адрес ЛенРТК информации.</w:t>
      </w:r>
    </w:p>
    <w:p w:rsidR="00496572" w:rsidRPr="00496572" w:rsidRDefault="00496572" w:rsidP="00496572">
      <w:pPr>
        <w:ind w:firstLine="567"/>
        <w:jc w:val="both"/>
        <w:rPr>
          <w:sz w:val="24"/>
          <w:szCs w:val="24"/>
          <w:lang w:eastAsia="x-none"/>
        </w:rPr>
      </w:pPr>
    </w:p>
    <w:p w:rsidR="00496572" w:rsidRPr="00496572" w:rsidRDefault="00496572" w:rsidP="00496572">
      <w:pPr>
        <w:ind w:firstLine="567"/>
        <w:jc w:val="both"/>
        <w:rPr>
          <w:b/>
          <w:snapToGrid w:val="0"/>
          <w:sz w:val="24"/>
          <w:szCs w:val="24"/>
        </w:rPr>
      </w:pPr>
      <w:r w:rsidRPr="00496572">
        <w:rPr>
          <w:b/>
          <w:snapToGrid w:val="0"/>
          <w:sz w:val="24"/>
          <w:szCs w:val="24"/>
        </w:rPr>
        <w:t>Правление приняло решение:</w:t>
      </w:r>
    </w:p>
    <w:p w:rsidR="00496572" w:rsidRPr="00496572" w:rsidRDefault="00496572" w:rsidP="00496572">
      <w:pPr>
        <w:ind w:firstLine="567"/>
        <w:rPr>
          <w:sz w:val="24"/>
          <w:szCs w:val="24"/>
        </w:rPr>
      </w:pPr>
    </w:p>
    <w:p w:rsidR="00496572" w:rsidRPr="00496572" w:rsidRDefault="00496572" w:rsidP="00496572">
      <w:pPr>
        <w:autoSpaceDE w:val="0"/>
        <w:autoSpaceDN w:val="0"/>
        <w:adjustRightInd w:val="0"/>
        <w:spacing w:after="120"/>
        <w:ind w:firstLine="567"/>
        <w:jc w:val="both"/>
        <w:rPr>
          <w:sz w:val="24"/>
          <w:szCs w:val="24"/>
          <w:lang w:eastAsia="x-none"/>
        </w:rPr>
      </w:pPr>
      <w:proofErr w:type="gramStart"/>
      <w:r w:rsidRPr="00496572">
        <w:rPr>
          <w:sz w:val="24"/>
          <w:szCs w:val="24"/>
        </w:rPr>
        <w:t xml:space="preserve">Установить следующие стандартизированные тарифные </w:t>
      </w:r>
      <w:hyperlink r:id="rId6" w:history="1">
        <w:r w:rsidRPr="00496572">
          <w:rPr>
            <w:color w:val="000000"/>
            <w:sz w:val="24"/>
            <w:szCs w:val="24"/>
          </w:rPr>
          <w:t>ставки</w:t>
        </w:r>
      </w:hyperlink>
      <w:r w:rsidRPr="00496572">
        <w:rPr>
          <w:sz w:val="24"/>
          <w:szCs w:val="24"/>
        </w:rPr>
        <w:t xml:space="preserve">, </w:t>
      </w:r>
      <w:r w:rsidRPr="00496572">
        <w:rPr>
          <w:sz w:val="24"/>
          <w:szCs w:val="24"/>
          <w:lang w:eastAsia="x-none"/>
        </w:rPr>
        <w:t xml:space="preserve">используемые газораспределительными организациями Ленинградской области, </w:t>
      </w:r>
      <w:r w:rsidRPr="00496572">
        <w:rPr>
          <w:sz w:val="24"/>
          <w:szCs w:val="24"/>
        </w:rPr>
        <w:t>перечисленные ниже в таблице</w:t>
      </w:r>
      <w:r w:rsidRPr="00496572">
        <w:rPr>
          <w:sz w:val="24"/>
          <w:szCs w:val="24"/>
          <w:lang w:eastAsia="x-none"/>
        </w:rPr>
        <w:t xml:space="preserve">, для определения размера платы за технологическое присоединение к сети газораспределения внутри границ земельного участка Заявителя, на территории Ленинградской области на 2019 год, для случаев создания сети </w:t>
      </w:r>
      <w:proofErr w:type="spellStart"/>
      <w:r w:rsidRPr="00496572">
        <w:rPr>
          <w:sz w:val="24"/>
          <w:szCs w:val="24"/>
          <w:lang w:eastAsia="x-none"/>
        </w:rPr>
        <w:t>газопотребления</w:t>
      </w:r>
      <w:proofErr w:type="spellEnd"/>
      <w:r w:rsidRPr="00496572">
        <w:rPr>
          <w:sz w:val="24"/>
          <w:szCs w:val="24"/>
          <w:lang w:eastAsia="x-none"/>
        </w:rPr>
        <w:t xml:space="preserve"> для коммунально-бытовых нужд с максимальным расходом газа не превышающим 5 куб. метров в час, с учетом расхода газа, ранее</w:t>
      </w:r>
      <w:proofErr w:type="gramEnd"/>
      <w:r w:rsidRPr="00496572">
        <w:rPr>
          <w:sz w:val="24"/>
          <w:szCs w:val="24"/>
          <w:lang w:eastAsia="x-none"/>
        </w:rPr>
        <w:t xml:space="preserve"> подключенного в данной точке подключения газоиспользующего оборудования Заявителя, и принятой дифференциации используемых при создании сети </w:t>
      </w:r>
      <w:proofErr w:type="spellStart"/>
      <w:r w:rsidRPr="00496572">
        <w:rPr>
          <w:sz w:val="24"/>
          <w:szCs w:val="24"/>
          <w:lang w:eastAsia="x-none"/>
        </w:rPr>
        <w:t>газопотребления</w:t>
      </w:r>
      <w:proofErr w:type="spellEnd"/>
      <w:r w:rsidRPr="00496572">
        <w:rPr>
          <w:sz w:val="24"/>
          <w:szCs w:val="24"/>
          <w:lang w:eastAsia="x-none"/>
        </w:rPr>
        <w:t xml:space="preserve"> материалов, изделий и оборудования:</w:t>
      </w:r>
    </w:p>
    <w:tbl>
      <w:tblPr>
        <w:tblW w:w="10080" w:type="dxa"/>
        <w:jc w:val="center"/>
        <w:tblInd w:w="93" w:type="dxa"/>
        <w:tblLayout w:type="fixed"/>
        <w:tblLook w:val="04A0" w:firstRow="1" w:lastRow="0" w:firstColumn="1" w:lastColumn="0" w:noHBand="0" w:noVBand="1"/>
      </w:tblPr>
      <w:tblGrid>
        <w:gridCol w:w="4420"/>
        <w:gridCol w:w="1820"/>
        <w:gridCol w:w="1460"/>
        <w:gridCol w:w="2380"/>
      </w:tblGrid>
      <w:tr w:rsidR="00496572" w:rsidRPr="00496572" w:rsidTr="00F301F7">
        <w:trPr>
          <w:trHeight w:val="547"/>
          <w:jc w:val="center"/>
        </w:trPr>
        <w:tc>
          <w:tcPr>
            <w:tcW w:w="6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96572" w:rsidRPr="00496572" w:rsidRDefault="00496572" w:rsidP="00496572">
            <w:pPr>
              <w:jc w:val="center"/>
              <w:rPr>
                <w:b/>
                <w:bCs/>
                <w:color w:val="000000"/>
                <w:szCs w:val="24"/>
              </w:rPr>
            </w:pPr>
            <w:r w:rsidRPr="00496572">
              <w:rPr>
                <w:b/>
                <w:bCs/>
                <w:color w:val="000000"/>
              </w:rPr>
              <w:lastRenderedPageBreak/>
              <w:t>Перечень стандартизированных ставок</w:t>
            </w:r>
          </w:p>
        </w:tc>
        <w:tc>
          <w:tcPr>
            <w:tcW w:w="1460" w:type="dxa"/>
            <w:tcBorders>
              <w:top w:val="single" w:sz="8" w:space="0" w:color="auto"/>
              <w:left w:val="nil"/>
              <w:bottom w:val="single" w:sz="8" w:space="0" w:color="auto"/>
              <w:right w:val="single" w:sz="8" w:space="0" w:color="auto"/>
            </w:tcBorders>
            <w:shd w:val="clear" w:color="000000" w:fill="FFFFFF"/>
            <w:vAlign w:val="center"/>
            <w:hideMark/>
          </w:tcPr>
          <w:p w:rsidR="00496572" w:rsidRPr="00496572" w:rsidRDefault="00496572" w:rsidP="00496572">
            <w:pPr>
              <w:jc w:val="center"/>
              <w:rPr>
                <w:b/>
                <w:bCs/>
                <w:color w:val="000000"/>
                <w:szCs w:val="24"/>
              </w:rPr>
            </w:pPr>
            <w:r w:rsidRPr="00496572">
              <w:rPr>
                <w:b/>
                <w:bCs/>
                <w:color w:val="000000"/>
              </w:rPr>
              <w:t>Ед. изм.</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496572" w:rsidRPr="00496572" w:rsidRDefault="00496572" w:rsidP="00496572">
            <w:pPr>
              <w:jc w:val="center"/>
              <w:rPr>
                <w:b/>
                <w:bCs/>
                <w:color w:val="000000"/>
                <w:szCs w:val="24"/>
              </w:rPr>
            </w:pPr>
            <w:proofErr w:type="spellStart"/>
            <w:proofErr w:type="gramStart"/>
            <w:r w:rsidRPr="00496572">
              <w:rPr>
                <w:b/>
                <w:bCs/>
                <w:color w:val="000000"/>
              </w:rPr>
              <w:t>Стандартизиро</w:t>
            </w:r>
            <w:proofErr w:type="spellEnd"/>
            <w:r w:rsidRPr="00496572">
              <w:rPr>
                <w:b/>
                <w:bCs/>
                <w:color w:val="000000"/>
              </w:rPr>
              <w:t>-ванная</w:t>
            </w:r>
            <w:proofErr w:type="gramEnd"/>
            <w:r w:rsidRPr="00496572">
              <w:rPr>
                <w:b/>
                <w:bCs/>
                <w:color w:val="000000"/>
              </w:rPr>
              <w:t xml:space="preserve"> тарифная ставка на 2019 год (без НДС)</w:t>
            </w:r>
          </w:p>
        </w:tc>
      </w:tr>
      <w:tr w:rsidR="00496572" w:rsidRPr="00496572" w:rsidTr="00F301F7">
        <w:trPr>
          <w:trHeight w:val="563"/>
          <w:jc w:val="center"/>
        </w:trPr>
        <w:tc>
          <w:tcPr>
            <w:tcW w:w="6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96572" w:rsidRPr="00496572" w:rsidRDefault="00496572" w:rsidP="00496572">
            <w:pPr>
              <w:jc w:val="both"/>
              <w:rPr>
                <w:b/>
                <w:bCs/>
                <w:color w:val="000000"/>
                <w:sz w:val="18"/>
              </w:rPr>
            </w:pPr>
            <w:proofErr w:type="spellStart"/>
            <w:r w:rsidRPr="00496572">
              <w:rPr>
                <w:sz w:val="18"/>
                <w:szCs w:val="24"/>
              </w:rPr>
              <w:t>С</w:t>
            </w:r>
            <w:r w:rsidRPr="00496572">
              <w:rPr>
                <w:sz w:val="18"/>
                <w:szCs w:val="24"/>
                <w:vertAlign w:val="superscript"/>
              </w:rPr>
              <w:t>пр</w:t>
            </w:r>
            <w:proofErr w:type="spellEnd"/>
            <w:r w:rsidRPr="00496572">
              <w:rPr>
                <w:color w:val="000000"/>
                <w:sz w:val="18"/>
              </w:rPr>
              <w:t xml:space="preserve"> - стандартизированные тарифные ставки на проектирование коммунально-бытовой сети </w:t>
            </w:r>
            <w:proofErr w:type="spellStart"/>
            <w:r w:rsidRPr="00496572">
              <w:rPr>
                <w:color w:val="000000"/>
                <w:sz w:val="18"/>
              </w:rPr>
              <w:t>газопотребления</w:t>
            </w:r>
            <w:proofErr w:type="spellEnd"/>
            <w:r w:rsidRPr="00496572">
              <w:rPr>
                <w:color w:val="000000"/>
                <w:sz w:val="18"/>
              </w:rPr>
              <w:t xml:space="preserve"> в границах участка Заявителя, в том числе:</w:t>
            </w:r>
          </w:p>
        </w:tc>
        <w:tc>
          <w:tcPr>
            <w:tcW w:w="3840" w:type="dxa"/>
            <w:gridSpan w:val="2"/>
            <w:tcBorders>
              <w:top w:val="single" w:sz="8" w:space="0" w:color="auto"/>
              <w:left w:val="nil"/>
              <w:bottom w:val="single" w:sz="8" w:space="0" w:color="auto"/>
              <w:right w:val="single" w:sz="8" w:space="0" w:color="000000"/>
            </w:tcBorders>
            <w:shd w:val="clear" w:color="auto" w:fill="auto"/>
            <w:vAlign w:val="center"/>
            <w:hideMark/>
          </w:tcPr>
          <w:p w:rsidR="00496572" w:rsidRPr="00496572" w:rsidRDefault="00496572" w:rsidP="00496572">
            <w:pPr>
              <w:jc w:val="center"/>
              <w:rPr>
                <w:color w:val="000000"/>
                <w:sz w:val="18"/>
              </w:rPr>
            </w:pPr>
            <w:r w:rsidRPr="00496572">
              <w:rPr>
                <w:color w:val="000000"/>
                <w:sz w:val="18"/>
              </w:rPr>
              <w:t>В ценах периода регулирования</w:t>
            </w:r>
          </w:p>
        </w:tc>
      </w:tr>
      <w:tr w:rsidR="00496572" w:rsidRPr="00496572" w:rsidTr="00F301F7">
        <w:trPr>
          <w:trHeight w:val="340"/>
          <w:jc w:val="center"/>
        </w:trPr>
        <w:tc>
          <w:tcPr>
            <w:tcW w:w="62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6572" w:rsidRPr="00496572" w:rsidRDefault="00496572" w:rsidP="00496572">
            <w:pPr>
              <w:rPr>
                <w:b/>
                <w:bCs/>
                <w:color w:val="000000"/>
                <w:sz w:val="18"/>
                <w:szCs w:val="18"/>
                <w:u w:val="single"/>
              </w:rPr>
            </w:pPr>
            <w:proofErr w:type="spellStart"/>
            <w:r w:rsidRPr="00496572">
              <w:rPr>
                <w:sz w:val="18"/>
                <w:szCs w:val="24"/>
              </w:rPr>
              <w:t>С</w:t>
            </w:r>
            <w:r w:rsidRPr="00496572">
              <w:rPr>
                <w:sz w:val="18"/>
                <w:szCs w:val="24"/>
                <w:vertAlign w:val="superscript"/>
              </w:rPr>
              <w:t>пр</w:t>
            </w:r>
            <w:r w:rsidRPr="00496572">
              <w:rPr>
                <w:sz w:val="18"/>
                <w:szCs w:val="24"/>
                <w:vertAlign w:val="subscript"/>
              </w:rPr>
              <w:t>ги</w:t>
            </w:r>
            <w:proofErr w:type="spellEnd"/>
            <w:r w:rsidRPr="00496572">
              <w:rPr>
                <w:color w:val="000000"/>
                <w:sz w:val="18"/>
              </w:rPr>
              <w:t xml:space="preserve"> - стандартизированная тарифная ставка на выполнение инженерно-геодезических изысканий площадью съемки не более  0,35 Га (топографическая съемка М 1:500):</w:t>
            </w:r>
          </w:p>
        </w:tc>
        <w:tc>
          <w:tcPr>
            <w:tcW w:w="14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96572" w:rsidRPr="00496572" w:rsidRDefault="00496572" w:rsidP="00496572">
            <w:pPr>
              <w:jc w:val="center"/>
              <w:rPr>
                <w:color w:val="000000"/>
                <w:sz w:val="18"/>
              </w:rPr>
            </w:pPr>
            <w:r w:rsidRPr="00496572">
              <w:rPr>
                <w:color w:val="000000"/>
                <w:sz w:val="18"/>
              </w:rPr>
              <w:t>руб./объект</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496572" w:rsidRPr="00496572" w:rsidRDefault="00496572" w:rsidP="00496572">
            <w:pPr>
              <w:jc w:val="center"/>
              <w:rPr>
                <w:b/>
                <w:bCs/>
                <w:color w:val="000000"/>
                <w:sz w:val="18"/>
                <w:u w:val="single"/>
              </w:rPr>
            </w:pPr>
            <w:r w:rsidRPr="00496572">
              <w:rPr>
                <w:rFonts w:eastAsia="Calibri"/>
                <w:b/>
                <w:bCs/>
                <w:color w:val="000000"/>
                <w:sz w:val="18"/>
                <w:u w:val="single"/>
              </w:rPr>
              <w:t>6 350,00</w:t>
            </w:r>
          </w:p>
        </w:tc>
      </w:tr>
      <w:tr w:rsidR="00496572" w:rsidRPr="00496572" w:rsidTr="00496572">
        <w:trPr>
          <w:trHeight w:val="50"/>
          <w:jc w:val="center"/>
        </w:trPr>
        <w:tc>
          <w:tcPr>
            <w:tcW w:w="62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6572" w:rsidRPr="00496572" w:rsidRDefault="00496572" w:rsidP="00496572">
            <w:pPr>
              <w:rPr>
                <w:b/>
                <w:bCs/>
                <w:color w:val="000000"/>
                <w:sz w:val="18"/>
                <w:szCs w:val="18"/>
                <w:u w:val="single"/>
              </w:rPr>
            </w:pPr>
            <w:proofErr w:type="spellStart"/>
            <w:r w:rsidRPr="00496572">
              <w:rPr>
                <w:sz w:val="18"/>
                <w:szCs w:val="24"/>
              </w:rPr>
              <w:t>С</w:t>
            </w:r>
            <w:r w:rsidRPr="00496572">
              <w:rPr>
                <w:sz w:val="18"/>
                <w:szCs w:val="24"/>
                <w:vertAlign w:val="superscript"/>
              </w:rPr>
              <w:t>пр</w:t>
            </w:r>
            <w:r w:rsidRPr="00496572">
              <w:rPr>
                <w:sz w:val="18"/>
                <w:szCs w:val="24"/>
                <w:vertAlign w:val="subscript"/>
              </w:rPr>
              <w:t>п</w:t>
            </w:r>
            <w:proofErr w:type="spellEnd"/>
            <w:r w:rsidRPr="00496572">
              <w:rPr>
                <w:color w:val="000000"/>
                <w:sz w:val="18"/>
              </w:rPr>
              <w:t xml:space="preserve"> - стандартизированная тарифная ставка на разработку проектной документации сети </w:t>
            </w:r>
            <w:proofErr w:type="spellStart"/>
            <w:r w:rsidRPr="00496572">
              <w:rPr>
                <w:color w:val="000000"/>
                <w:sz w:val="18"/>
              </w:rPr>
              <w:t>газопотребления</w:t>
            </w:r>
            <w:proofErr w:type="spellEnd"/>
            <w:r w:rsidRPr="00496572">
              <w:rPr>
                <w:color w:val="000000"/>
                <w:sz w:val="18"/>
              </w:rPr>
              <w:t>:</w:t>
            </w:r>
          </w:p>
        </w:tc>
        <w:tc>
          <w:tcPr>
            <w:tcW w:w="1460" w:type="dxa"/>
            <w:tcBorders>
              <w:top w:val="single" w:sz="8" w:space="0" w:color="auto"/>
              <w:left w:val="single" w:sz="8" w:space="0" w:color="auto"/>
              <w:right w:val="single" w:sz="4" w:space="0" w:color="auto"/>
            </w:tcBorders>
            <w:shd w:val="clear" w:color="000000" w:fill="FFFFFF"/>
            <w:vAlign w:val="center"/>
            <w:hideMark/>
          </w:tcPr>
          <w:p w:rsidR="00496572" w:rsidRPr="00496572" w:rsidRDefault="00496572" w:rsidP="00496572">
            <w:pPr>
              <w:jc w:val="center"/>
              <w:rPr>
                <w:color w:val="000000"/>
                <w:sz w:val="18"/>
              </w:rPr>
            </w:pPr>
            <w:r w:rsidRPr="00496572">
              <w:rPr>
                <w:color w:val="000000"/>
                <w:sz w:val="18"/>
              </w:rPr>
              <w:t>руб./объект</w:t>
            </w:r>
          </w:p>
        </w:tc>
        <w:tc>
          <w:tcPr>
            <w:tcW w:w="2380" w:type="dxa"/>
            <w:tcBorders>
              <w:top w:val="single" w:sz="8" w:space="0" w:color="auto"/>
              <w:left w:val="nil"/>
              <w:right w:val="single" w:sz="8" w:space="0" w:color="auto"/>
            </w:tcBorders>
            <w:shd w:val="clear" w:color="auto" w:fill="auto"/>
            <w:vAlign w:val="center"/>
            <w:hideMark/>
          </w:tcPr>
          <w:p w:rsidR="00496572" w:rsidRPr="00496572" w:rsidRDefault="00496572" w:rsidP="00496572">
            <w:pPr>
              <w:jc w:val="center"/>
              <w:rPr>
                <w:b/>
                <w:bCs/>
                <w:color w:val="000000"/>
                <w:sz w:val="18"/>
                <w:u w:val="single"/>
              </w:rPr>
            </w:pPr>
            <w:r w:rsidRPr="00496572">
              <w:rPr>
                <w:rFonts w:eastAsia="Calibri"/>
                <w:b/>
                <w:bCs/>
                <w:color w:val="000000"/>
                <w:sz w:val="18"/>
                <w:u w:val="single"/>
              </w:rPr>
              <w:t>15 711,86</w:t>
            </w:r>
          </w:p>
        </w:tc>
      </w:tr>
      <w:tr w:rsidR="00496572" w:rsidRPr="00496572" w:rsidTr="00F301F7">
        <w:trPr>
          <w:trHeight w:val="513"/>
          <w:jc w:val="center"/>
        </w:trPr>
        <w:tc>
          <w:tcPr>
            <w:tcW w:w="6240" w:type="dxa"/>
            <w:gridSpan w:val="2"/>
            <w:tcBorders>
              <w:top w:val="single" w:sz="8" w:space="0" w:color="auto"/>
              <w:left w:val="single" w:sz="8" w:space="0" w:color="auto"/>
              <w:bottom w:val="nil"/>
              <w:right w:val="single" w:sz="8" w:space="0" w:color="000000"/>
            </w:tcBorders>
            <w:shd w:val="clear" w:color="auto" w:fill="auto"/>
            <w:vAlign w:val="center"/>
            <w:hideMark/>
          </w:tcPr>
          <w:p w:rsidR="00496572" w:rsidRPr="00496572" w:rsidRDefault="00496572" w:rsidP="00496572">
            <w:pPr>
              <w:jc w:val="both"/>
              <w:rPr>
                <w:b/>
                <w:bCs/>
                <w:color w:val="000000"/>
                <w:sz w:val="18"/>
              </w:rPr>
            </w:pPr>
            <w:r w:rsidRPr="00496572">
              <w:rPr>
                <w:sz w:val="18"/>
                <w:lang w:val="x-none" w:eastAsia="x-none"/>
              </w:rPr>
              <w:t>С</w:t>
            </w:r>
            <w:r w:rsidRPr="00496572">
              <w:rPr>
                <w:sz w:val="18"/>
                <w:vertAlign w:val="superscript"/>
                <w:lang w:val="x-none" w:eastAsia="x-none"/>
              </w:rPr>
              <w:t>Г</w:t>
            </w:r>
            <w:r w:rsidRPr="00496572">
              <w:rPr>
                <w:color w:val="000000"/>
                <w:sz w:val="18"/>
              </w:rPr>
              <w:t xml:space="preserve"> - стандартизированные тарифные ставки на строительство газопровода и устройств системы электрохимической защиты от коррозии коммунально-бытовой сети </w:t>
            </w:r>
            <w:proofErr w:type="spellStart"/>
            <w:r w:rsidRPr="00496572">
              <w:rPr>
                <w:color w:val="000000"/>
                <w:sz w:val="18"/>
              </w:rPr>
              <w:t>газопотребления</w:t>
            </w:r>
            <w:proofErr w:type="spellEnd"/>
            <w:r w:rsidRPr="00496572">
              <w:rPr>
                <w:color w:val="000000"/>
                <w:sz w:val="18"/>
              </w:rPr>
              <w:t xml:space="preserve"> в границах участка Заявителя, в том числе:</w:t>
            </w:r>
          </w:p>
        </w:tc>
        <w:tc>
          <w:tcPr>
            <w:tcW w:w="3840" w:type="dxa"/>
            <w:gridSpan w:val="2"/>
            <w:tcBorders>
              <w:top w:val="single" w:sz="8" w:space="0" w:color="auto"/>
              <w:left w:val="nil"/>
              <w:bottom w:val="single" w:sz="8" w:space="0" w:color="auto"/>
              <w:right w:val="single" w:sz="8" w:space="0" w:color="000000"/>
            </w:tcBorders>
            <w:shd w:val="clear" w:color="auto" w:fill="auto"/>
            <w:vAlign w:val="center"/>
            <w:hideMark/>
          </w:tcPr>
          <w:p w:rsidR="00496572" w:rsidRPr="00496572" w:rsidRDefault="00496572" w:rsidP="00496572">
            <w:pPr>
              <w:jc w:val="center"/>
              <w:rPr>
                <w:color w:val="000000"/>
                <w:sz w:val="18"/>
              </w:rPr>
            </w:pPr>
            <w:r w:rsidRPr="00496572">
              <w:rPr>
                <w:color w:val="000000"/>
                <w:sz w:val="18"/>
              </w:rPr>
              <w:t>В ценах  периода регулирования</w:t>
            </w:r>
          </w:p>
        </w:tc>
      </w:tr>
      <w:tr w:rsidR="00496572" w:rsidRPr="00496572" w:rsidTr="00F301F7">
        <w:trPr>
          <w:trHeight w:val="283"/>
          <w:jc w:val="center"/>
        </w:trPr>
        <w:tc>
          <w:tcPr>
            <w:tcW w:w="44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96572" w:rsidRPr="00496572" w:rsidRDefault="00496572" w:rsidP="00496572">
            <w:pPr>
              <w:rPr>
                <w:color w:val="000000"/>
                <w:sz w:val="18"/>
              </w:rPr>
            </w:pPr>
            <w:r w:rsidRPr="00496572">
              <w:rPr>
                <w:color w:val="000000"/>
                <w:sz w:val="18"/>
              </w:rPr>
              <w:t xml:space="preserve"> - стального газопровода надземного типа прокладки в диапазоне наружных диаметров строящихся газопроводов:</w:t>
            </w:r>
          </w:p>
        </w:tc>
        <w:tc>
          <w:tcPr>
            <w:tcW w:w="1820" w:type="dxa"/>
            <w:tcBorders>
              <w:top w:val="single" w:sz="8" w:space="0" w:color="auto"/>
              <w:left w:val="nil"/>
              <w:bottom w:val="single" w:sz="4" w:space="0" w:color="auto"/>
              <w:right w:val="single" w:sz="8" w:space="0" w:color="auto"/>
            </w:tcBorders>
            <w:shd w:val="clear" w:color="auto" w:fill="auto"/>
            <w:noWrap/>
            <w:vAlign w:val="center"/>
            <w:hideMark/>
          </w:tcPr>
          <w:p w:rsidR="00496572" w:rsidRPr="00496572" w:rsidRDefault="00496572" w:rsidP="00496572">
            <w:pPr>
              <w:jc w:val="right"/>
              <w:rPr>
                <w:b/>
                <w:bCs/>
                <w:color w:val="000000"/>
                <w:sz w:val="18"/>
                <w:szCs w:val="18"/>
                <w:u w:val="single"/>
              </w:rPr>
            </w:pPr>
            <w:r w:rsidRPr="00496572">
              <w:rPr>
                <w:b/>
                <w:bCs/>
                <w:color w:val="000000"/>
                <w:sz w:val="18"/>
                <w:szCs w:val="18"/>
                <w:u w:val="single"/>
              </w:rPr>
              <w:t>25 мм и менее</w:t>
            </w:r>
          </w:p>
        </w:tc>
        <w:tc>
          <w:tcPr>
            <w:tcW w:w="1460" w:type="dxa"/>
            <w:tcBorders>
              <w:top w:val="nil"/>
              <w:left w:val="nil"/>
              <w:bottom w:val="single" w:sz="4" w:space="0" w:color="auto"/>
              <w:right w:val="single" w:sz="4" w:space="0" w:color="auto"/>
            </w:tcBorders>
            <w:shd w:val="clear" w:color="000000" w:fill="FFFFFF"/>
            <w:vAlign w:val="center"/>
            <w:hideMark/>
          </w:tcPr>
          <w:p w:rsidR="00496572" w:rsidRPr="00496572" w:rsidRDefault="00496572" w:rsidP="00496572">
            <w:pPr>
              <w:jc w:val="center"/>
              <w:rPr>
                <w:color w:val="000000"/>
                <w:sz w:val="18"/>
              </w:rPr>
            </w:pPr>
            <w:r w:rsidRPr="00496572">
              <w:rPr>
                <w:color w:val="000000"/>
                <w:sz w:val="18"/>
              </w:rPr>
              <w:t>руб./</w:t>
            </w:r>
            <w:proofErr w:type="gramStart"/>
            <w:r w:rsidRPr="00496572">
              <w:rPr>
                <w:color w:val="000000"/>
                <w:sz w:val="18"/>
              </w:rPr>
              <w:t>м</w:t>
            </w:r>
            <w:proofErr w:type="gramEnd"/>
          </w:p>
        </w:tc>
        <w:tc>
          <w:tcPr>
            <w:tcW w:w="2380" w:type="dxa"/>
            <w:tcBorders>
              <w:top w:val="nil"/>
              <w:left w:val="nil"/>
              <w:bottom w:val="single" w:sz="4" w:space="0" w:color="auto"/>
              <w:right w:val="single" w:sz="8" w:space="0" w:color="auto"/>
            </w:tcBorders>
            <w:shd w:val="clear" w:color="auto" w:fill="auto"/>
            <w:vAlign w:val="center"/>
            <w:hideMark/>
          </w:tcPr>
          <w:p w:rsidR="00496572" w:rsidRPr="00496572" w:rsidRDefault="00496572" w:rsidP="00496572">
            <w:pPr>
              <w:jc w:val="center"/>
              <w:rPr>
                <w:b/>
                <w:bCs/>
                <w:color w:val="000000"/>
                <w:sz w:val="18"/>
                <w:u w:val="single"/>
              </w:rPr>
            </w:pPr>
            <w:r w:rsidRPr="00496572">
              <w:rPr>
                <w:b/>
                <w:bCs/>
                <w:color w:val="000000"/>
                <w:sz w:val="18"/>
                <w:u w:val="single"/>
              </w:rPr>
              <w:t>1 873,27</w:t>
            </w:r>
          </w:p>
        </w:tc>
      </w:tr>
      <w:tr w:rsidR="00496572" w:rsidRPr="00496572" w:rsidTr="00F301F7">
        <w:trPr>
          <w:trHeight w:val="283"/>
          <w:jc w:val="center"/>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496572" w:rsidRPr="00496572" w:rsidRDefault="00496572" w:rsidP="00496572">
            <w:pPr>
              <w:rPr>
                <w:color w:val="000000"/>
                <w:sz w:val="18"/>
              </w:rPr>
            </w:pPr>
          </w:p>
        </w:tc>
        <w:tc>
          <w:tcPr>
            <w:tcW w:w="1820" w:type="dxa"/>
            <w:tcBorders>
              <w:top w:val="nil"/>
              <w:left w:val="nil"/>
              <w:bottom w:val="single" w:sz="8" w:space="0" w:color="auto"/>
              <w:right w:val="single" w:sz="8" w:space="0" w:color="auto"/>
            </w:tcBorders>
            <w:shd w:val="clear" w:color="auto" w:fill="auto"/>
            <w:noWrap/>
            <w:vAlign w:val="center"/>
            <w:hideMark/>
          </w:tcPr>
          <w:p w:rsidR="00496572" w:rsidRPr="00496572" w:rsidRDefault="00496572" w:rsidP="00496572">
            <w:pPr>
              <w:jc w:val="right"/>
              <w:rPr>
                <w:b/>
                <w:bCs/>
                <w:color w:val="000000"/>
                <w:sz w:val="18"/>
                <w:szCs w:val="18"/>
                <w:u w:val="single"/>
              </w:rPr>
            </w:pPr>
            <w:r w:rsidRPr="00496572">
              <w:rPr>
                <w:b/>
                <w:bCs/>
                <w:color w:val="000000"/>
                <w:sz w:val="18"/>
                <w:szCs w:val="18"/>
                <w:u w:val="single"/>
              </w:rPr>
              <w:t>26-38 мм</w:t>
            </w:r>
          </w:p>
        </w:tc>
        <w:tc>
          <w:tcPr>
            <w:tcW w:w="1460" w:type="dxa"/>
            <w:tcBorders>
              <w:top w:val="nil"/>
              <w:left w:val="nil"/>
              <w:bottom w:val="single" w:sz="8" w:space="0" w:color="auto"/>
              <w:right w:val="single" w:sz="4" w:space="0" w:color="auto"/>
            </w:tcBorders>
            <w:shd w:val="clear" w:color="000000" w:fill="FFFFFF"/>
            <w:vAlign w:val="center"/>
            <w:hideMark/>
          </w:tcPr>
          <w:p w:rsidR="00496572" w:rsidRPr="00496572" w:rsidRDefault="00496572" w:rsidP="00496572">
            <w:pPr>
              <w:jc w:val="center"/>
              <w:rPr>
                <w:color w:val="000000"/>
                <w:sz w:val="18"/>
              </w:rPr>
            </w:pPr>
            <w:r w:rsidRPr="00496572">
              <w:rPr>
                <w:color w:val="000000"/>
                <w:sz w:val="18"/>
              </w:rPr>
              <w:t>руб./</w:t>
            </w:r>
            <w:proofErr w:type="gramStart"/>
            <w:r w:rsidRPr="00496572">
              <w:rPr>
                <w:color w:val="000000"/>
                <w:sz w:val="18"/>
              </w:rPr>
              <w:t>м</w:t>
            </w:r>
            <w:proofErr w:type="gramEnd"/>
          </w:p>
        </w:tc>
        <w:tc>
          <w:tcPr>
            <w:tcW w:w="2380" w:type="dxa"/>
            <w:tcBorders>
              <w:top w:val="nil"/>
              <w:left w:val="nil"/>
              <w:bottom w:val="single" w:sz="8" w:space="0" w:color="auto"/>
              <w:right w:val="single" w:sz="8" w:space="0" w:color="auto"/>
            </w:tcBorders>
            <w:shd w:val="clear" w:color="auto" w:fill="auto"/>
            <w:vAlign w:val="center"/>
            <w:hideMark/>
          </w:tcPr>
          <w:p w:rsidR="00496572" w:rsidRPr="00496572" w:rsidRDefault="00496572" w:rsidP="00496572">
            <w:pPr>
              <w:jc w:val="center"/>
              <w:rPr>
                <w:b/>
                <w:bCs/>
                <w:color w:val="000000"/>
                <w:sz w:val="18"/>
                <w:u w:val="single"/>
              </w:rPr>
            </w:pPr>
            <w:r w:rsidRPr="00496572">
              <w:rPr>
                <w:b/>
                <w:bCs/>
                <w:color w:val="000000"/>
                <w:sz w:val="18"/>
                <w:u w:val="single"/>
              </w:rPr>
              <w:t>1 878,25</w:t>
            </w:r>
          </w:p>
        </w:tc>
      </w:tr>
      <w:tr w:rsidR="00496572" w:rsidRPr="00496572" w:rsidTr="00496572">
        <w:trPr>
          <w:trHeight w:val="50"/>
          <w:jc w:val="center"/>
        </w:trPr>
        <w:tc>
          <w:tcPr>
            <w:tcW w:w="4420" w:type="dxa"/>
            <w:vMerge/>
            <w:tcBorders>
              <w:top w:val="single" w:sz="8" w:space="0" w:color="auto"/>
              <w:left w:val="single" w:sz="8" w:space="0" w:color="auto"/>
              <w:bottom w:val="single" w:sz="8" w:space="0" w:color="000000"/>
              <w:right w:val="single" w:sz="8" w:space="0" w:color="auto"/>
            </w:tcBorders>
            <w:vAlign w:val="center"/>
            <w:hideMark/>
          </w:tcPr>
          <w:p w:rsidR="00496572" w:rsidRPr="00496572" w:rsidRDefault="00496572" w:rsidP="00496572">
            <w:pPr>
              <w:rPr>
                <w:color w:val="000000"/>
                <w:sz w:val="18"/>
              </w:rPr>
            </w:pP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6572" w:rsidRPr="00496572" w:rsidRDefault="00496572" w:rsidP="00496572">
            <w:pPr>
              <w:jc w:val="right"/>
              <w:rPr>
                <w:b/>
                <w:bCs/>
                <w:color w:val="000000"/>
                <w:sz w:val="18"/>
                <w:szCs w:val="18"/>
                <w:u w:val="single"/>
              </w:rPr>
            </w:pPr>
            <w:r w:rsidRPr="00496572">
              <w:rPr>
                <w:b/>
                <w:bCs/>
                <w:color w:val="000000"/>
                <w:sz w:val="18"/>
                <w:szCs w:val="18"/>
                <w:u w:val="single"/>
              </w:rPr>
              <w:t>46-57 мм</w:t>
            </w:r>
          </w:p>
        </w:tc>
        <w:tc>
          <w:tcPr>
            <w:tcW w:w="14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96572" w:rsidRPr="00496572" w:rsidRDefault="00496572" w:rsidP="00496572">
            <w:pPr>
              <w:jc w:val="center"/>
              <w:rPr>
                <w:color w:val="000000"/>
                <w:sz w:val="18"/>
              </w:rPr>
            </w:pPr>
            <w:r w:rsidRPr="00496572">
              <w:rPr>
                <w:color w:val="000000"/>
                <w:sz w:val="18"/>
              </w:rPr>
              <w:t>руб./</w:t>
            </w:r>
            <w:proofErr w:type="gramStart"/>
            <w:r w:rsidRPr="00496572">
              <w:rPr>
                <w:color w:val="000000"/>
                <w:sz w:val="18"/>
              </w:rPr>
              <w:t>м</w:t>
            </w:r>
            <w:proofErr w:type="gramEnd"/>
          </w:p>
        </w:tc>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6572" w:rsidRPr="00496572" w:rsidRDefault="00496572" w:rsidP="00496572">
            <w:pPr>
              <w:jc w:val="center"/>
              <w:rPr>
                <w:b/>
                <w:bCs/>
                <w:color w:val="000000"/>
                <w:sz w:val="18"/>
                <w:u w:val="single"/>
              </w:rPr>
            </w:pPr>
            <w:r w:rsidRPr="00496572">
              <w:rPr>
                <w:b/>
                <w:bCs/>
                <w:color w:val="000000"/>
                <w:sz w:val="18"/>
                <w:u w:val="single"/>
              </w:rPr>
              <w:t>1 047,79</w:t>
            </w:r>
          </w:p>
        </w:tc>
      </w:tr>
      <w:tr w:rsidR="00496572" w:rsidRPr="00496572" w:rsidTr="00496572">
        <w:trPr>
          <w:trHeight w:val="50"/>
          <w:jc w:val="center"/>
        </w:trPr>
        <w:tc>
          <w:tcPr>
            <w:tcW w:w="4420" w:type="dxa"/>
            <w:tcBorders>
              <w:top w:val="nil"/>
              <w:left w:val="single" w:sz="8" w:space="0" w:color="auto"/>
              <w:bottom w:val="single" w:sz="8" w:space="0" w:color="000000"/>
              <w:right w:val="single" w:sz="8" w:space="0" w:color="auto"/>
            </w:tcBorders>
            <w:shd w:val="clear" w:color="auto" w:fill="auto"/>
            <w:vAlign w:val="center"/>
            <w:hideMark/>
          </w:tcPr>
          <w:p w:rsidR="00496572" w:rsidRPr="00496572" w:rsidRDefault="00496572" w:rsidP="00496572">
            <w:pPr>
              <w:rPr>
                <w:color w:val="000000"/>
                <w:sz w:val="18"/>
              </w:rPr>
            </w:pPr>
            <w:r w:rsidRPr="00496572">
              <w:rPr>
                <w:color w:val="000000"/>
                <w:sz w:val="18"/>
              </w:rPr>
              <w:t xml:space="preserve"> - полиэтиленового газопровода подземного типа прокладки в диапазоне наружных диаметров строящихся газопроводов:</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6572" w:rsidRPr="00496572" w:rsidRDefault="00496572" w:rsidP="00496572">
            <w:pPr>
              <w:jc w:val="right"/>
              <w:rPr>
                <w:b/>
                <w:bCs/>
                <w:color w:val="000000"/>
                <w:sz w:val="18"/>
                <w:szCs w:val="18"/>
                <w:u w:val="single"/>
              </w:rPr>
            </w:pPr>
            <w:r w:rsidRPr="00496572">
              <w:rPr>
                <w:b/>
                <w:bCs/>
                <w:color w:val="000000"/>
                <w:sz w:val="18"/>
                <w:szCs w:val="18"/>
                <w:u w:val="single"/>
              </w:rPr>
              <w:t>32 и менее</w:t>
            </w:r>
          </w:p>
        </w:tc>
        <w:tc>
          <w:tcPr>
            <w:tcW w:w="1460" w:type="dxa"/>
            <w:tcBorders>
              <w:top w:val="single" w:sz="8" w:space="0" w:color="auto"/>
              <w:left w:val="nil"/>
              <w:bottom w:val="single" w:sz="4" w:space="0" w:color="auto"/>
              <w:right w:val="single" w:sz="4" w:space="0" w:color="auto"/>
            </w:tcBorders>
            <w:shd w:val="clear" w:color="000000" w:fill="FFFFFF"/>
            <w:vAlign w:val="center"/>
            <w:hideMark/>
          </w:tcPr>
          <w:p w:rsidR="00496572" w:rsidRPr="00496572" w:rsidRDefault="00496572" w:rsidP="00496572">
            <w:pPr>
              <w:jc w:val="center"/>
              <w:rPr>
                <w:color w:val="000000"/>
                <w:sz w:val="18"/>
              </w:rPr>
            </w:pPr>
            <w:r w:rsidRPr="00496572">
              <w:rPr>
                <w:color w:val="000000"/>
                <w:sz w:val="18"/>
              </w:rPr>
              <w:t>руб./</w:t>
            </w:r>
            <w:proofErr w:type="gramStart"/>
            <w:r w:rsidRPr="00496572">
              <w:rPr>
                <w:color w:val="000000"/>
                <w:sz w:val="18"/>
              </w:rPr>
              <w:t>м</w:t>
            </w:r>
            <w:proofErr w:type="gramEnd"/>
          </w:p>
        </w:tc>
        <w:tc>
          <w:tcPr>
            <w:tcW w:w="2380" w:type="dxa"/>
            <w:tcBorders>
              <w:top w:val="single" w:sz="8" w:space="0" w:color="auto"/>
              <w:left w:val="nil"/>
              <w:bottom w:val="single" w:sz="4" w:space="0" w:color="auto"/>
              <w:right w:val="single" w:sz="8" w:space="0" w:color="auto"/>
            </w:tcBorders>
            <w:shd w:val="clear" w:color="auto" w:fill="auto"/>
            <w:vAlign w:val="center"/>
            <w:hideMark/>
          </w:tcPr>
          <w:p w:rsidR="00496572" w:rsidRPr="00496572" w:rsidRDefault="00496572" w:rsidP="00496572">
            <w:pPr>
              <w:jc w:val="center"/>
              <w:rPr>
                <w:b/>
                <w:bCs/>
                <w:color w:val="000000"/>
                <w:sz w:val="18"/>
                <w:u w:val="single"/>
              </w:rPr>
            </w:pPr>
            <w:r w:rsidRPr="00496572">
              <w:rPr>
                <w:b/>
                <w:bCs/>
                <w:color w:val="000000"/>
                <w:sz w:val="18"/>
                <w:u w:val="single"/>
              </w:rPr>
              <w:t>1 744,16</w:t>
            </w:r>
          </w:p>
        </w:tc>
      </w:tr>
      <w:tr w:rsidR="00496572" w:rsidRPr="00496572" w:rsidTr="00496572">
        <w:trPr>
          <w:trHeight w:val="287"/>
          <w:jc w:val="center"/>
        </w:trPr>
        <w:tc>
          <w:tcPr>
            <w:tcW w:w="6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96572" w:rsidRPr="00496572" w:rsidRDefault="00496572" w:rsidP="00496572">
            <w:pPr>
              <w:jc w:val="center"/>
              <w:rPr>
                <w:b/>
                <w:bCs/>
                <w:color w:val="000000"/>
                <w:szCs w:val="24"/>
              </w:rPr>
            </w:pPr>
            <w:r w:rsidRPr="00496572">
              <w:rPr>
                <w:b/>
                <w:bCs/>
                <w:color w:val="000000"/>
              </w:rPr>
              <w:t>Перечень стандартизированных ставок</w:t>
            </w:r>
          </w:p>
        </w:tc>
        <w:tc>
          <w:tcPr>
            <w:tcW w:w="1460" w:type="dxa"/>
            <w:tcBorders>
              <w:top w:val="single" w:sz="8" w:space="0" w:color="auto"/>
              <w:left w:val="nil"/>
              <w:bottom w:val="single" w:sz="8" w:space="0" w:color="auto"/>
              <w:right w:val="single" w:sz="8" w:space="0" w:color="auto"/>
            </w:tcBorders>
            <w:shd w:val="clear" w:color="000000" w:fill="FFFFFF"/>
            <w:vAlign w:val="center"/>
            <w:hideMark/>
          </w:tcPr>
          <w:p w:rsidR="00496572" w:rsidRPr="00496572" w:rsidRDefault="00496572" w:rsidP="00496572">
            <w:pPr>
              <w:jc w:val="center"/>
              <w:rPr>
                <w:b/>
                <w:bCs/>
                <w:color w:val="000000"/>
                <w:szCs w:val="24"/>
              </w:rPr>
            </w:pPr>
            <w:r w:rsidRPr="00496572">
              <w:rPr>
                <w:b/>
                <w:bCs/>
                <w:color w:val="000000"/>
              </w:rPr>
              <w:t>Ед. изм.</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496572" w:rsidRPr="00496572" w:rsidRDefault="003F6A3E" w:rsidP="00496572">
            <w:pPr>
              <w:jc w:val="center"/>
              <w:rPr>
                <w:b/>
                <w:bCs/>
                <w:color w:val="000000"/>
                <w:szCs w:val="24"/>
              </w:rPr>
            </w:pPr>
            <w:r>
              <w:rPr>
                <w:b/>
                <w:bCs/>
                <w:color w:val="000000"/>
              </w:rPr>
              <w:t>Стандартизиро</w:t>
            </w:r>
            <w:bookmarkStart w:id="0" w:name="_GoBack"/>
            <w:bookmarkEnd w:id="0"/>
            <w:r w:rsidR="00496572" w:rsidRPr="00496572">
              <w:rPr>
                <w:b/>
                <w:bCs/>
                <w:color w:val="000000"/>
              </w:rPr>
              <w:t>ванная тарифная ставка на 2019 год (без НДС)</w:t>
            </w:r>
          </w:p>
        </w:tc>
      </w:tr>
      <w:tr w:rsidR="00496572" w:rsidRPr="00496572" w:rsidTr="00496572">
        <w:trPr>
          <w:trHeight w:val="50"/>
          <w:jc w:val="center"/>
        </w:trPr>
        <w:tc>
          <w:tcPr>
            <w:tcW w:w="6240" w:type="dxa"/>
            <w:gridSpan w:val="2"/>
            <w:tcBorders>
              <w:top w:val="nil"/>
              <w:left w:val="single" w:sz="8" w:space="0" w:color="auto"/>
              <w:bottom w:val="nil"/>
              <w:right w:val="single" w:sz="8" w:space="0" w:color="000000"/>
            </w:tcBorders>
            <w:shd w:val="clear" w:color="auto" w:fill="auto"/>
            <w:vAlign w:val="center"/>
            <w:hideMark/>
          </w:tcPr>
          <w:p w:rsidR="00496572" w:rsidRPr="00496572" w:rsidRDefault="00496572" w:rsidP="00496572">
            <w:pPr>
              <w:jc w:val="both"/>
              <w:rPr>
                <w:b/>
                <w:bCs/>
                <w:color w:val="000000"/>
                <w:sz w:val="18"/>
              </w:rPr>
            </w:pPr>
            <w:proofErr w:type="spellStart"/>
            <w:r w:rsidRPr="00496572">
              <w:rPr>
                <w:sz w:val="18"/>
                <w:szCs w:val="28"/>
                <w:lang w:eastAsia="x-none"/>
              </w:rPr>
              <w:t>С</w:t>
            </w:r>
            <w:r w:rsidRPr="00496572">
              <w:rPr>
                <w:sz w:val="18"/>
                <w:szCs w:val="28"/>
                <w:vertAlign w:val="superscript"/>
                <w:lang w:eastAsia="x-none"/>
              </w:rPr>
              <w:t>прг</w:t>
            </w:r>
            <w:proofErr w:type="spellEnd"/>
            <w:r w:rsidRPr="00496572">
              <w:rPr>
                <w:color w:val="000000"/>
                <w:sz w:val="18"/>
              </w:rPr>
              <w:t xml:space="preserve"> - стандартизированные тарифные ставки на установку пункта редуцирования газа коммунально-бытовой сети </w:t>
            </w:r>
            <w:proofErr w:type="spellStart"/>
            <w:r w:rsidRPr="00496572">
              <w:rPr>
                <w:color w:val="000000"/>
                <w:sz w:val="18"/>
              </w:rPr>
              <w:t>газопотребления</w:t>
            </w:r>
            <w:proofErr w:type="spellEnd"/>
            <w:r w:rsidRPr="00496572">
              <w:rPr>
                <w:color w:val="000000"/>
                <w:sz w:val="18"/>
              </w:rPr>
              <w:t xml:space="preserve"> в границах участка Заявителя</w:t>
            </w:r>
          </w:p>
        </w:tc>
        <w:tc>
          <w:tcPr>
            <w:tcW w:w="3840" w:type="dxa"/>
            <w:gridSpan w:val="2"/>
            <w:tcBorders>
              <w:top w:val="single" w:sz="4" w:space="0" w:color="auto"/>
              <w:left w:val="nil"/>
              <w:bottom w:val="single" w:sz="8" w:space="0" w:color="auto"/>
              <w:right w:val="single" w:sz="8" w:space="0" w:color="000000"/>
            </w:tcBorders>
            <w:shd w:val="clear" w:color="auto" w:fill="auto"/>
            <w:vAlign w:val="center"/>
            <w:hideMark/>
          </w:tcPr>
          <w:p w:rsidR="00496572" w:rsidRPr="00496572" w:rsidRDefault="00496572" w:rsidP="00496572">
            <w:pPr>
              <w:jc w:val="center"/>
              <w:rPr>
                <w:color w:val="000000"/>
                <w:sz w:val="18"/>
              </w:rPr>
            </w:pPr>
            <w:r w:rsidRPr="00496572">
              <w:rPr>
                <w:color w:val="000000"/>
                <w:sz w:val="18"/>
              </w:rPr>
              <w:t>В ценах периода регулирования</w:t>
            </w:r>
          </w:p>
        </w:tc>
      </w:tr>
      <w:tr w:rsidR="00496572" w:rsidRPr="00496572" w:rsidTr="00496572">
        <w:trPr>
          <w:trHeight w:val="50"/>
          <w:jc w:val="center"/>
        </w:trPr>
        <w:tc>
          <w:tcPr>
            <w:tcW w:w="6240" w:type="dxa"/>
            <w:gridSpan w:val="2"/>
            <w:tcBorders>
              <w:top w:val="single" w:sz="8" w:space="0" w:color="auto"/>
              <w:left w:val="single" w:sz="8" w:space="0" w:color="auto"/>
              <w:right w:val="single" w:sz="8" w:space="0" w:color="auto"/>
            </w:tcBorders>
            <w:shd w:val="clear" w:color="auto" w:fill="auto"/>
            <w:vAlign w:val="center"/>
            <w:hideMark/>
          </w:tcPr>
          <w:p w:rsidR="00496572" w:rsidRPr="00496572" w:rsidRDefault="00496572" w:rsidP="00496572">
            <w:pPr>
              <w:rPr>
                <w:b/>
                <w:bCs/>
                <w:color w:val="000000"/>
                <w:sz w:val="18"/>
                <w:szCs w:val="18"/>
                <w:u w:val="single"/>
              </w:rPr>
            </w:pPr>
            <w:r w:rsidRPr="00496572">
              <w:rPr>
                <w:color w:val="000000"/>
                <w:sz w:val="18"/>
              </w:rPr>
              <w:t>- производительностью до 10 м</w:t>
            </w:r>
            <w:r w:rsidRPr="00496572">
              <w:rPr>
                <w:color w:val="000000"/>
                <w:sz w:val="18"/>
                <w:vertAlign w:val="superscript"/>
              </w:rPr>
              <w:t>3</w:t>
            </w:r>
            <w:r w:rsidRPr="00496572">
              <w:rPr>
                <w:color w:val="000000"/>
                <w:sz w:val="18"/>
              </w:rPr>
              <w:t xml:space="preserve"> в час</w:t>
            </w:r>
          </w:p>
        </w:tc>
        <w:tc>
          <w:tcPr>
            <w:tcW w:w="1460" w:type="dxa"/>
            <w:tcBorders>
              <w:top w:val="nil"/>
              <w:left w:val="single" w:sz="8" w:space="0" w:color="auto"/>
              <w:right w:val="single" w:sz="4" w:space="0" w:color="auto"/>
            </w:tcBorders>
            <w:shd w:val="clear" w:color="000000" w:fill="FFFFFF"/>
            <w:vAlign w:val="center"/>
            <w:hideMark/>
          </w:tcPr>
          <w:p w:rsidR="00496572" w:rsidRPr="00496572" w:rsidRDefault="00496572" w:rsidP="00496572">
            <w:pPr>
              <w:jc w:val="center"/>
              <w:rPr>
                <w:color w:val="000000"/>
                <w:sz w:val="18"/>
              </w:rPr>
            </w:pPr>
            <w:r w:rsidRPr="00496572">
              <w:rPr>
                <w:color w:val="000000"/>
                <w:sz w:val="18"/>
              </w:rPr>
              <w:t>руб./ед.</w:t>
            </w:r>
          </w:p>
        </w:tc>
        <w:tc>
          <w:tcPr>
            <w:tcW w:w="2380" w:type="dxa"/>
            <w:tcBorders>
              <w:top w:val="nil"/>
              <w:left w:val="nil"/>
              <w:right w:val="single" w:sz="8" w:space="0" w:color="auto"/>
            </w:tcBorders>
            <w:shd w:val="clear" w:color="auto" w:fill="auto"/>
            <w:vAlign w:val="center"/>
            <w:hideMark/>
          </w:tcPr>
          <w:p w:rsidR="00496572" w:rsidRPr="00496572" w:rsidRDefault="00496572" w:rsidP="00496572">
            <w:pPr>
              <w:jc w:val="center"/>
              <w:rPr>
                <w:b/>
                <w:bCs/>
                <w:color w:val="000000"/>
                <w:sz w:val="18"/>
                <w:u w:val="single"/>
              </w:rPr>
            </w:pPr>
            <w:r w:rsidRPr="00496572">
              <w:rPr>
                <w:b/>
                <w:bCs/>
                <w:color w:val="000000"/>
                <w:sz w:val="18"/>
                <w:u w:val="single"/>
              </w:rPr>
              <w:t>15 775,00</w:t>
            </w:r>
          </w:p>
        </w:tc>
      </w:tr>
      <w:tr w:rsidR="00496572" w:rsidRPr="00496572" w:rsidTr="00496572">
        <w:trPr>
          <w:trHeight w:val="144"/>
          <w:jc w:val="center"/>
        </w:trPr>
        <w:tc>
          <w:tcPr>
            <w:tcW w:w="6240" w:type="dxa"/>
            <w:gridSpan w:val="2"/>
            <w:vMerge w:val="restart"/>
            <w:tcBorders>
              <w:top w:val="single" w:sz="8" w:space="0" w:color="auto"/>
              <w:left w:val="single" w:sz="8" w:space="0" w:color="auto"/>
              <w:right w:val="single" w:sz="8" w:space="0" w:color="000000"/>
            </w:tcBorders>
            <w:shd w:val="clear" w:color="auto" w:fill="auto"/>
            <w:vAlign w:val="center"/>
            <w:hideMark/>
          </w:tcPr>
          <w:p w:rsidR="00496572" w:rsidRPr="00496572" w:rsidRDefault="00496572" w:rsidP="00496572">
            <w:pPr>
              <w:jc w:val="both"/>
              <w:rPr>
                <w:color w:val="000000"/>
                <w:sz w:val="18"/>
              </w:rPr>
            </w:pPr>
            <w:proofErr w:type="spellStart"/>
            <w:r w:rsidRPr="00496572">
              <w:rPr>
                <w:sz w:val="18"/>
                <w:szCs w:val="28"/>
                <w:lang w:eastAsia="x-none"/>
              </w:rPr>
              <w:t>С</w:t>
            </w:r>
            <w:r w:rsidRPr="00496572">
              <w:rPr>
                <w:sz w:val="18"/>
                <w:szCs w:val="28"/>
                <w:vertAlign w:val="superscript"/>
                <w:lang w:eastAsia="x-none"/>
              </w:rPr>
              <w:t>оу</w:t>
            </w:r>
            <w:proofErr w:type="spellEnd"/>
            <w:r w:rsidRPr="00496572">
              <w:rPr>
                <w:color w:val="000000"/>
                <w:sz w:val="18"/>
              </w:rPr>
              <w:t xml:space="preserve"> - стандартизированная тарифная ставка на установку </w:t>
            </w:r>
          </w:p>
          <w:p w:rsidR="00496572" w:rsidRPr="00496572" w:rsidRDefault="00496572" w:rsidP="00496572">
            <w:pPr>
              <w:jc w:val="both"/>
              <w:rPr>
                <w:b/>
                <w:bCs/>
                <w:color w:val="000000"/>
                <w:sz w:val="18"/>
              </w:rPr>
            </w:pPr>
            <w:r w:rsidRPr="00496572">
              <w:rPr>
                <w:color w:val="000000"/>
                <w:sz w:val="18"/>
              </w:rPr>
              <w:t>отключающих устройств на</w:t>
            </w:r>
            <w:r w:rsidRPr="00496572">
              <w:rPr>
                <w:b/>
                <w:sz w:val="18"/>
                <w:szCs w:val="28"/>
                <w:lang w:eastAsia="x-none"/>
              </w:rPr>
              <w:t xml:space="preserve"> </w:t>
            </w:r>
            <w:r w:rsidRPr="00496572">
              <w:rPr>
                <w:color w:val="000000"/>
                <w:sz w:val="18"/>
              </w:rPr>
              <w:t xml:space="preserve">коммунально-бытовой сети </w:t>
            </w:r>
            <w:proofErr w:type="spellStart"/>
            <w:r w:rsidRPr="00496572">
              <w:rPr>
                <w:color w:val="000000"/>
                <w:sz w:val="18"/>
              </w:rPr>
              <w:t>газопотребления</w:t>
            </w:r>
            <w:proofErr w:type="spellEnd"/>
            <w:r w:rsidRPr="00496572">
              <w:rPr>
                <w:color w:val="000000"/>
                <w:sz w:val="18"/>
              </w:rPr>
              <w:t xml:space="preserve"> в границах участка Заявителя</w:t>
            </w:r>
          </w:p>
        </w:tc>
        <w:tc>
          <w:tcPr>
            <w:tcW w:w="3840" w:type="dxa"/>
            <w:gridSpan w:val="2"/>
            <w:tcBorders>
              <w:top w:val="single" w:sz="8" w:space="0" w:color="auto"/>
              <w:left w:val="nil"/>
              <w:bottom w:val="single" w:sz="8" w:space="0" w:color="auto"/>
              <w:right w:val="single" w:sz="8" w:space="0" w:color="000000"/>
            </w:tcBorders>
            <w:shd w:val="clear" w:color="auto" w:fill="auto"/>
            <w:vAlign w:val="center"/>
            <w:hideMark/>
          </w:tcPr>
          <w:p w:rsidR="00496572" w:rsidRPr="00496572" w:rsidRDefault="00496572" w:rsidP="00496572">
            <w:pPr>
              <w:jc w:val="center"/>
              <w:rPr>
                <w:color w:val="000000"/>
                <w:sz w:val="18"/>
              </w:rPr>
            </w:pPr>
            <w:r w:rsidRPr="00496572">
              <w:rPr>
                <w:color w:val="000000"/>
                <w:sz w:val="18"/>
              </w:rPr>
              <w:t>В ценах периода регулирования</w:t>
            </w:r>
          </w:p>
        </w:tc>
      </w:tr>
      <w:tr w:rsidR="00496572" w:rsidRPr="00496572" w:rsidTr="00496572">
        <w:trPr>
          <w:trHeight w:val="50"/>
          <w:jc w:val="center"/>
        </w:trPr>
        <w:tc>
          <w:tcPr>
            <w:tcW w:w="6240" w:type="dxa"/>
            <w:gridSpan w:val="2"/>
            <w:vMerge/>
            <w:tcBorders>
              <w:left w:val="single" w:sz="8" w:space="0" w:color="auto"/>
              <w:right w:val="single" w:sz="8" w:space="0" w:color="000000"/>
            </w:tcBorders>
            <w:shd w:val="clear" w:color="auto" w:fill="auto"/>
            <w:vAlign w:val="center"/>
            <w:hideMark/>
          </w:tcPr>
          <w:p w:rsidR="00496572" w:rsidRPr="00496572" w:rsidRDefault="00496572" w:rsidP="00496572">
            <w:pPr>
              <w:jc w:val="right"/>
              <w:rPr>
                <w:b/>
                <w:bCs/>
                <w:color w:val="000000"/>
                <w:sz w:val="18"/>
                <w:szCs w:val="18"/>
                <w:u w:val="single"/>
              </w:rPr>
            </w:pPr>
          </w:p>
        </w:tc>
        <w:tc>
          <w:tcPr>
            <w:tcW w:w="1460" w:type="dxa"/>
            <w:tcBorders>
              <w:top w:val="nil"/>
              <w:left w:val="single" w:sz="8" w:space="0" w:color="000000"/>
              <w:right w:val="single" w:sz="4" w:space="0" w:color="auto"/>
            </w:tcBorders>
            <w:shd w:val="clear" w:color="000000" w:fill="FFFFFF"/>
            <w:vAlign w:val="center"/>
            <w:hideMark/>
          </w:tcPr>
          <w:p w:rsidR="00496572" w:rsidRPr="00496572" w:rsidRDefault="00496572" w:rsidP="00496572">
            <w:pPr>
              <w:jc w:val="center"/>
              <w:rPr>
                <w:color w:val="000000"/>
                <w:sz w:val="18"/>
              </w:rPr>
            </w:pPr>
            <w:r w:rsidRPr="00496572">
              <w:rPr>
                <w:color w:val="000000"/>
                <w:sz w:val="18"/>
              </w:rPr>
              <w:t>руб./ед.</w:t>
            </w:r>
          </w:p>
        </w:tc>
        <w:tc>
          <w:tcPr>
            <w:tcW w:w="2380" w:type="dxa"/>
            <w:tcBorders>
              <w:top w:val="nil"/>
              <w:left w:val="nil"/>
              <w:right w:val="single" w:sz="8" w:space="0" w:color="auto"/>
            </w:tcBorders>
            <w:shd w:val="clear" w:color="auto" w:fill="auto"/>
            <w:vAlign w:val="center"/>
            <w:hideMark/>
          </w:tcPr>
          <w:p w:rsidR="00496572" w:rsidRPr="00496572" w:rsidRDefault="00496572" w:rsidP="00496572">
            <w:pPr>
              <w:jc w:val="center"/>
              <w:rPr>
                <w:b/>
                <w:bCs/>
                <w:color w:val="000000"/>
                <w:sz w:val="18"/>
                <w:u w:val="single"/>
              </w:rPr>
            </w:pPr>
            <w:r w:rsidRPr="00496572">
              <w:rPr>
                <w:b/>
                <w:bCs/>
                <w:color w:val="000000"/>
                <w:sz w:val="18"/>
                <w:u w:val="single"/>
              </w:rPr>
              <w:t>3 033,69</w:t>
            </w:r>
          </w:p>
        </w:tc>
      </w:tr>
      <w:tr w:rsidR="00496572" w:rsidRPr="00496572" w:rsidTr="00496572">
        <w:trPr>
          <w:trHeight w:val="173"/>
          <w:jc w:val="center"/>
        </w:trPr>
        <w:tc>
          <w:tcPr>
            <w:tcW w:w="6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96572" w:rsidRPr="00496572" w:rsidRDefault="00496572" w:rsidP="00496572">
            <w:pPr>
              <w:jc w:val="both"/>
              <w:rPr>
                <w:bCs/>
                <w:color w:val="000000"/>
                <w:sz w:val="18"/>
              </w:rPr>
            </w:pPr>
            <w:proofErr w:type="spellStart"/>
            <w:r w:rsidRPr="00496572">
              <w:rPr>
                <w:sz w:val="18"/>
                <w:szCs w:val="28"/>
                <w:lang w:eastAsia="x-none"/>
              </w:rPr>
              <w:t>С</w:t>
            </w:r>
            <w:r w:rsidRPr="00496572">
              <w:rPr>
                <w:sz w:val="18"/>
                <w:szCs w:val="28"/>
                <w:vertAlign w:val="superscript"/>
                <w:lang w:eastAsia="x-none"/>
              </w:rPr>
              <w:t>г</w:t>
            </w:r>
            <w:r w:rsidRPr="00496572">
              <w:rPr>
                <w:sz w:val="18"/>
                <w:szCs w:val="28"/>
                <w:vertAlign w:val="subscript"/>
                <w:lang w:eastAsia="x-none"/>
              </w:rPr>
              <w:t>окс</w:t>
            </w:r>
            <w:proofErr w:type="spellEnd"/>
            <w:r w:rsidRPr="00496572">
              <w:rPr>
                <w:sz w:val="18"/>
                <w:szCs w:val="28"/>
                <w:lang w:eastAsia="x-none"/>
              </w:rPr>
              <w:t xml:space="preserve"> </w:t>
            </w:r>
            <w:r w:rsidRPr="00496572">
              <w:rPr>
                <w:b/>
                <w:sz w:val="18"/>
                <w:szCs w:val="28"/>
                <w:lang w:eastAsia="x-none"/>
              </w:rPr>
              <w:t>-</w:t>
            </w:r>
            <w:r w:rsidRPr="00496572">
              <w:rPr>
                <w:sz w:val="18"/>
                <w:szCs w:val="28"/>
                <w:lang w:eastAsia="x-none"/>
              </w:rPr>
              <w:t xml:space="preserve"> </w:t>
            </w:r>
            <w:r w:rsidRPr="00496572">
              <w:rPr>
                <w:color w:val="000000"/>
                <w:sz w:val="18"/>
              </w:rPr>
              <w:t xml:space="preserve">стандартизированная тарифная ставка на устройство внутреннего газопровода коммунально-бытовой сети </w:t>
            </w:r>
            <w:proofErr w:type="spellStart"/>
            <w:r w:rsidRPr="00496572">
              <w:rPr>
                <w:color w:val="000000"/>
                <w:sz w:val="18"/>
              </w:rPr>
              <w:t>газопотребления</w:t>
            </w:r>
            <w:proofErr w:type="spellEnd"/>
            <w:r w:rsidRPr="00496572">
              <w:rPr>
                <w:color w:val="000000"/>
                <w:sz w:val="18"/>
              </w:rPr>
              <w:t xml:space="preserve"> на объекте капитального строительства Заявителя, в том числе:</w:t>
            </w:r>
          </w:p>
        </w:tc>
        <w:tc>
          <w:tcPr>
            <w:tcW w:w="3840" w:type="dxa"/>
            <w:gridSpan w:val="2"/>
            <w:tcBorders>
              <w:top w:val="single" w:sz="8" w:space="0" w:color="auto"/>
              <w:left w:val="nil"/>
              <w:bottom w:val="single" w:sz="8" w:space="0" w:color="auto"/>
              <w:right w:val="single" w:sz="8" w:space="0" w:color="000000"/>
            </w:tcBorders>
            <w:shd w:val="clear" w:color="auto" w:fill="auto"/>
            <w:vAlign w:val="center"/>
            <w:hideMark/>
          </w:tcPr>
          <w:p w:rsidR="00496572" w:rsidRPr="00496572" w:rsidRDefault="00496572" w:rsidP="00496572">
            <w:pPr>
              <w:jc w:val="center"/>
              <w:rPr>
                <w:color w:val="000000"/>
                <w:sz w:val="18"/>
              </w:rPr>
            </w:pPr>
            <w:r w:rsidRPr="00496572">
              <w:rPr>
                <w:color w:val="000000"/>
                <w:sz w:val="18"/>
              </w:rPr>
              <w:t>В ценах периода регулирования</w:t>
            </w:r>
          </w:p>
        </w:tc>
      </w:tr>
      <w:tr w:rsidR="00496572" w:rsidRPr="00496572" w:rsidTr="00496572">
        <w:trPr>
          <w:trHeight w:val="131"/>
          <w:jc w:val="center"/>
        </w:trPr>
        <w:tc>
          <w:tcPr>
            <w:tcW w:w="4420" w:type="dxa"/>
            <w:vMerge w:val="restart"/>
            <w:tcBorders>
              <w:top w:val="nil"/>
              <w:left w:val="single" w:sz="8" w:space="0" w:color="auto"/>
              <w:right w:val="single" w:sz="4" w:space="0" w:color="auto"/>
            </w:tcBorders>
            <w:shd w:val="clear" w:color="auto" w:fill="auto"/>
            <w:vAlign w:val="center"/>
            <w:hideMark/>
          </w:tcPr>
          <w:p w:rsidR="00496572" w:rsidRPr="00496572" w:rsidRDefault="00496572" w:rsidP="00496572">
            <w:pPr>
              <w:rPr>
                <w:color w:val="000000"/>
                <w:sz w:val="18"/>
              </w:rPr>
            </w:pPr>
            <w:r w:rsidRPr="00496572">
              <w:rPr>
                <w:color w:val="000000"/>
                <w:sz w:val="18"/>
              </w:rPr>
              <w:t>- внутреннего газопровода из стальных труб в диапазоне наружных диаметров:</w:t>
            </w:r>
          </w:p>
        </w:tc>
        <w:tc>
          <w:tcPr>
            <w:tcW w:w="1820" w:type="dxa"/>
            <w:tcBorders>
              <w:top w:val="single" w:sz="4" w:space="0" w:color="auto"/>
              <w:left w:val="nil"/>
              <w:bottom w:val="single" w:sz="8" w:space="0" w:color="auto"/>
              <w:right w:val="single" w:sz="8" w:space="0" w:color="auto"/>
            </w:tcBorders>
            <w:shd w:val="clear" w:color="auto" w:fill="auto"/>
            <w:vAlign w:val="center"/>
            <w:hideMark/>
          </w:tcPr>
          <w:p w:rsidR="00496572" w:rsidRPr="00496572" w:rsidRDefault="00496572" w:rsidP="00496572">
            <w:pPr>
              <w:jc w:val="right"/>
              <w:rPr>
                <w:b/>
                <w:bCs/>
                <w:color w:val="000000"/>
                <w:sz w:val="18"/>
                <w:szCs w:val="18"/>
                <w:u w:val="single"/>
              </w:rPr>
            </w:pPr>
            <w:r w:rsidRPr="00496572">
              <w:rPr>
                <w:b/>
                <w:bCs/>
                <w:color w:val="000000"/>
                <w:sz w:val="18"/>
                <w:szCs w:val="18"/>
                <w:u w:val="single"/>
              </w:rPr>
              <w:t>11-15 мм</w:t>
            </w:r>
          </w:p>
        </w:tc>
        <w:tc>
          <w:tcPr>
            <w:tcW w:w="1460" w:type="dxa"/>
            <w:tcBorders>
              <w:top w:val="single" w:sz="4" w:space="0" w:color="auto"/>
              <w:left w:val="nil"/>
              <w:bottom w:val="single" w:sz="8" w:space="0" w:color="auto"/>
              <w:right w:val="single" w:sz="4" w:space="0" w:color="auto"/>
            </w:tcBorders>
            <w:shd w:val="clear" w:color="000000" w:fill="FFFFFF"/>
            <w:vAlign w:val="center"/>
            <w:hideMark/>
          </w:tcPr>
          <w:p w:rsidR="00496572" w:rsidRPr="00496572" w:rsidRDefault="00496572" w:rsidP="00496572">
            <w:pPr>
              <w:jc w:val="center"/>
              <w:rPr>
                <w:color w:val="000000"/>
                <w:sz w:val="18"/>
              </w:rPr>
            </w:pPr>
            <w:r w:rsidRPr="00496572">
              <w:rPr>
                <w:color w:val="000000"/>
                <w:sz w:val="18"/>
              </w:rPr>
              <w:t>руб./</w:t>
            </w:r>
            <w:proofErr w:type="gramStart"/>
            <w:r w:rsidRPr="00496572">
              <w:rPr>
                <w:color w:val="000000"/>
                <w:sz w:val="18"/>
              </w:rPr>
              <w:t>м</w:t>
            </w:r>
            <w:proofErr w:type="gramEnd"/>
          </w:p>
        </w:tc>
        <w:tc>
          <w:tcPr>
            <w:tcW w:w="2380" w:type="dxa"/>
            <w:tcBorders>
              <w:top w:val="nil"/>
              <w:left w:val="nil"/>
              <w:bottom w:val="single" w:sz="8" w:space="0" w:color="auto"/>
              <w:right w:val="single" w:sz="8" w:space="0" w:color="auto"/>
            </w:tcBorders>
            <w:shd w:val="clear" w:color="auto" w:fill="auto"/>
            <w:vAlign w:val="center"/>
            <w:hideMark/>
          </w:tcPr>
          <w:p w:rsidR="00496572" w:rsidRPr="00496572" w:rsidRDefault="00496572" w:rsidP="00496572">
            <w:pPr>
              <w:jc w:val="center"/>
              <w:rPr>
                <w:b/>
                <w:bCs/>
                <w:color w:val="000000"/>
                <w:sz w:val="18"/>
                <w:u w:val="single"/>
              </w:rPr>
            </w:pPr>
            <w:r w:rsidRPr="00496572">
              <w:rPr>
                <w:b/>
                <w:color w:val="000000"/>
                <w:sz w:val="18"/>
                <w:u w:val="single"/>
              </w:rPr>
              <w:t>943,03</w:t>
            </w:r>
          </w:p>
        </w:tc>
      </w:tr>
      <w:tr w:rsidR="00496572" w:rsidRPr="00496572" w:rsidTr="00496572">
        <w:trPr>
          <w:trHeight w:val="50"/>
          <w:jc w:val="center"/>
        </w:trPr>
        <w:tc>
          <w:tcPr>
            <w:tcW w:w="4420" w:type="dxa"/>
            <w:vMerge/>
            <w:tcBorders>
              <w:left w:val="single" w:sz="8" w:space="0" w:color="auto"/>
              <w:bottom w:val="single" w:sz="8" w:space="0" w:color="auto"/>
              <w:right w:val="single" w:sz="4" w:space="0" w:color="auto"/>
            </w:tcBorders>
            <w:shd w:val="clear" w:color="auto" w:fill="auto"/>
            <w:vAlign w:val="center"/>
          </w:tcPr>
          <w:p w:rsidR="00496572" w:rsidRPr="00496572" w:rsidRDefault="00496572" w:rsidP="00496572">
            <w:pPr>
              <w:rPr>
                <w:color w:val="000000"/>
                <w:sz w:val="18"/>
              </w:rPr>
            </w:pPr>
          </w:p>
        </w:tc>
        <w:tc>
          <w:tcPr>
            <w:tcW w:w="1820" w:type="dxa"/>
            <w:tcBorders>
              <w:top w:val="single" w:sz="4" w:space="0" w:color="auto"/>
              <w:left w:val="nil"/>
              <w:bottom w:val="single" w:sz="8" w:space="0" w:color="auto"/>
              <w:right w:val="single" w:sz="8" w:space="0" w:color="auto"/>
            </w:tcBorders>
            <w:shd w:val="clear" w:color="auto" w:fill="auto"/>
            <w:vAlign w:val="center"/>
          </w:tcPr>
          <w:p w:rsidR="00496572" w:rsidRPr="00496572" w:rsidRDefault="00496572" w:rsidP="00496572">
            <w:pPr>
              <w:jc w:val="right"/>
              <w:rPr>
                <w:b/>
                <w:bCs/>
                <w:color w:val="000000"/>
                <w:sz w:val="18"/>
                <w:szCs w:val="18"/>
                <w:u w:val="single"/>
              </w:rPr>
            </w:pPr>
            <w:r w:rsidRPr="00496572">
              <w:rPr>
                <w:b/>
                <w:bCs/>
                <w:color w:val="000000"/>
                <w:sz w:val="18"/>
                <w:szCs w:val="18"/>
                <w:u w:val="single"/>
              </w:rPr>
              <w:t>21-25 мм</w:t>
            </w:r>
          </w:p>
        </w:tc>
        <w:tc>
          <w:tcPr>
            <w:tcW w:w="1460" w:type="dxa"/>
            <w:tcBorders>
              <w:top w:val="single" w:sz="4" w:space="0" w:color="auto"/>
              <w:left w:val="nil"/>
              <w:bottom w:val="single" w:sz="8" w:space="0" w:color="auto"/>
              <w:right w:val="single" w:sz="4" w:space="0" w:color="auto"/>
            </w:tcBorders>
            <w:shd w:val="clear" w:color="000000" w:fill="FFFFFF"/>
            <w:vAlign w:val="center"/>
          </w:tcPr>
          <w:p w:rsidR="00496572" w:rsidRPr="00496572" w:rsidRDefault="00496572" w:rsidP="00496572">
            <w:pPr>
              <w:jc w:val="center"/>
              <w:rPr>
                <w:color w:val="000000"/>
                <w:sz w:val="18"/>
              </w:rPr>
            </w:pPr>
            <w:r w:rsidRPr="00496572">
              <w:rPr>
                <w:color w:val="000000"/>
                <w:sz w:val="18"/>
              </w:rPr>
              <w:t>руб./</w:t>
            </w:r>
            <w:proofErr w:type="gramStart"/>
            <w:r w:rsidRPr="00496572">
              <w:rPr>
                <w:color w:val="000000"/>
                <w:sz w:val="18"/>
              </w:rPr>
              <w:t>м</w:t>
            </w:r>
            <w:proofErr w:type="gramEnd"/>
          </w:p>
        </w:tc>
        <w:tc>
          <w:tcPr>
            <w:tcW w:w="2380" w:type="dxa"/>
            <w:tcBorders>
              <w:top w:val="nil"/>
              <w:left w:val="nil"/>
              <w:bottom w:val="single" w:sz="8" w:space="0" w:color="auto"/>
              <w:right w:val="single" w:sz="8" w:space="0" w:color="auto"/>
            </w:tcBorders>
            <w:shd w:val="clear" w:color="auto" w:fill="auto"/>
            <w:vAlign w:val="center"/>
          </w:tcPr>
          <w:p w:rsidR="00496572" w:rsidRPr="00496572" w:rsidRDefault="00496572" w:rsidP="00496572">
            <w:pPr>
              <w:jc w:val="center"/>
              <w:rPr>
                <w:b/>
                <w:bCs/>
                <w:color w:val="000000"/>
                <w:sz w:val="18"/>
                <w:u w:val="single"/>
              </w:rPr>
            </w:pPr>
            <w:r w:rsidRPr="00496572">
              <w:rPr>
                <w:b/>
                <w:color w:val="000000"/>
                <w:sz w:val="18"/>
                <w:u w:val="single"/>
              </w:rPr>
              <w:t>1 036,96</w:t>
            </w:r>
          </w:p>
        </w:tc>
      </w:tr>
      <w:tr w:rsidR="00496572" w:rsidRPr="00496572" w:rsidTr="00496572">
        <w:trPr>
          <w:trHeight w:val="50"/>
          <w:jc w:val="center"/>
        </w:trPr>
        <w:tc>
          <w:tcPr>
            <w:tcW w:w="6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96572" w:rsidRPr="00496572" w:rsidRDefault="00496572" w:rsidP="00496572">
            <w:pPr>
              <w:jc w:val="both"/>
              <w:rPr>
                <w:b/>
                <w:bCs/>
                <w:color w:val="000000"/>
                <w:sz w:val="18"/>
              </w:rPr>
            </w:pPr>
            <w:proofErr w:type="spellStart"/>
            <w:r w:rsidRPr="00496572">
              <w:rPr>
                <w:sz w:val="18"/>
                <w:szCs w:val="28"/>
                <w:lang w:eastAsia="x-none"/>
              </w:rPr>
              <w:t>С</w:t>
            </w:r>
            <w:r w:rsidRPr="00496572">
              <w:rPr>
                <w:sz w:val="18"/>
                <w:szCs w:val="28"/>
                <w:vertAlign w:val="superscript"/>
                <w:lang w:eastAsia="x-none"/>
              </w:rPr>
              <w:t>пу</w:t>
            </w:r>
            <w:proofErr w:type="spellEnd"/>
            <w:r w:rsidRPr="00496572">
              <w:rPr>
                <w:color w:val="000000"/>
                <w:sz w:val="18"/>
              </w:rPr>
              <w:t xml:space="preserve"> - стандартизированные тарифные ставки на установку прибора учета газа на</w:t>
            </w:r>
            <w:r w:rsidRPr="00496572">
              <w:rPr>
                <w:b/>
                <w:sz w:val="18"/>
                <w:szCs w:val="28"/>
                <w:lang w:eastAsia="x-none"/>
              </w:rPr>
              <w:t xml:space="preserve"> </w:t>
            </w:r>
            <w:r w:rsidRPr="00496572">
              <w:rPr>
                <w:color w:val="000000"/>
                <w:sz w:val="18"/>
              </w:rPr>
              <w:t xml:space="preserve">коммунально-бытовой сети </w:t>
            </w:r>
            <w:proofErr w:type="spellStart"/>
            <w:r w:rsidRPr="00496572">
              <w:rPr>
                <w:color w:val="000000"/>
                <w:sz w:val="18"/>
              </w:rPr>
              <w:t>газопотребления</w:t>
            </w:r>
            <w:proofErr w:type="spellEnd"/>
            <w:r w:rsidRPr="00496572">
              <w:rPr>
                <w:color w:val="000000"/>
                <w:sz w:val="18"/>
              </w:rPr>
              <w:t xml:space="preserve"> Заявителя</w:t>
            </w:r>
          </w:p>
        </w:tc>
        <w:tc>
          <w:tcPr>
            <w:tcW w:w="3840" w:type="dxa"/>
            <w:gridSpan w:val="2"/>
            <w:tcBorders>
              <w:top w:val="single" w:sz="8" w:space="0" w:color="auto"/>
              <w:left w:val="nil"/>
              <w:bottom w:val="single" w:sz="8" w:space="0" w:color="auto"/>
              <w:right w:val="single" w:sz="8" w:space="0" w:color="000000"/>
            </w:tcBorders>
            <w:shd w:val="clear" w:color="auto" w:fill="auto"/>
            <w:vAlign w:val="center"/>
            <w:hideMark/>
          </w:tcPr>
          <w:p w:rsidR="00496572" w:rsidRPr="00496572" w:rsidRDefault="00496572" w:rsidP="00496572">
            <w:pPr>
              <w:jc w:val="center"/>
              <w:rPr>
                <w:color w:val="000000"/>
                <w:sz w:val="18"/>
              </w:rPr>
            </w:pPr>
            <w:r w:rsidRPr="00496572">
              <w:rPr>
                <w:color w:val="000000"/>
                <w:sz w:val="18"/>
              </w:rPr>
              <w:t>В ценах периода регулирования</w:t>
            </w:r>
          </w:p>
        </w:tc>
      </w:tr>
      <w:tr w:rsidR="00496572" w:rsidRPr="00496572" w:rsidTr="00496572">
        <w:trPr>
          <w:trHeight w:val="50"/>
          <w:jc w:val="center"/>
        </w:trPr>
        <w:tc>
          <w:tcPr>
            <w:tcW w:w="62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6572" w:rsidRPr="00496572" w:rsidRDefault="00496572" w:rsidP="00496572">
            <w:pPr>
              <w:rPr>
                <w:b/>
                <w:bCs/>
                <w:color w:val="000000"/>
                <w:sz w:val="18"/>
                <w:szCs w:val="18"/>
                <w:u w:val="single"/>
              </w:rPr>
            </w:pPr>
            <w:r w:rsidRPr="00496572">
              <w:rPr>
                <w:color w:val="000000"/>
                <w:sz w:val="18"/>
              </w:rPr>
              <w:t xml:space="preserve">- при установке счетчика типа  </w:t>
            </w:r>
            <w:r w:rsidRPr="00496572">
              <w:rPr>
                <w:color w:val="000000"/>
                <w:sz w:val="18"/>
                <w:lang w:val="en-US"/>
              </w:rPr>
              <w:t>G</w:t>
            </w:r>
            <w:r w:rsidRPr="00496572">
              <w:rPr>
                <w:color w:val="000000"/>
                <w:sz w:val="18"/>
              </w:rPr>
              <w:t>2,5</w:t>
            </w:r>
          </w:p>
        </w:tc>
        <w:tc>
          <w:tcPr>
            <w:tcW w:w="1460" w:type="dxa"/>
            <w:tcBorders>
              <w:top w:val="single" w:sz="8" w:space="0" w:color="auto"/>
              <w:left w:val="single" w:sz="8" w:space="0" w:color="auto"/>
              <w:bottom w:val="single" w:sz="8" w:space="0" w:color="auto"/>
              <w:right w:val="single" w:sz="8" w:space="0" w:color="auto"/>
            </w:tcBorders>
            <w:shd w:val="clear" w:color="000000" w:fill="FFFFFF"/>
            <w:vAlign w:val="center"/>
          </w:tcPr>
          <w:p w:rsidR="00496572" w:rsidRPr="00496572" w:rsidRDefault="00496572" w:rsidP="00496572">
            <w:pPr>
              <w:jc w:val="center"/>
              <w:rPr>
                <w:color w:val="000000"/>
                <w:sz w:val="18"/>
              </w:rPr>
            </w:pPr>
            <w:r w:rsidRPr="00496572">
              <w:rPr>
                <w:color w:val="000000"/>
                <w:sz w:val="18"/>
              </w:rPr>
              <w:t>руб./объект</w:t>
            </w:r>
          </w:p>
        </w:tc>
        <w:tc>
          <w:tcPr>
            <w:tcW w:w="2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6572" w:rsidRPr="00496572" w:rsidRDefault="00496572" w:rsidP="00496572">
            <w:pPr>
              <w:jc w:val="center"/>
              <w:rPr>
                <w:b/>
                <w:bCs/>
                <w:color w:val="000000"/>
                <w:sz w:val="18"/>
                <w:u w:val="single"/>
              </w:rPr>
            </w:pPr>
            <w:r w:rsidRPr="00496572">
              <w:rPr>
                <w:b/>
                <w:bCs/>
                <w:color w:val="000000"/>
                <w:sz w:val="18"/>
                <w:u w:val="single"/>
              </w:rPr>
              <w:t>1 428,72</w:t>
            </w:r>
          </w:p>
        </w:tc>
      </w:tr>
    </w:tbl>
    <w:p w:rsidR="00496572" w:rsidRDefault="00496572" w:rsidP="00496572">
      <w:pPr>
        <w:ind w:firstLine="567"/>
        <w:rPr>
          <w:sz w:val="24"/>
          <w:szCs w:val="24"/>
        </w:rPr>
      </w:pPr>
    </w:p>
    <w:p w:rsidR="00496572" w:rsidRDefault="00496572" w:rsidP="00496572">
      <w:pPr>
        <w:ind w:firstLine="567"/>
        <w:rPr>
          <w:sz w:val="24"/>
          <w:szCs w:val="24"/>
        </w:rPr>
      </w:pPr>
    </w:p>
    <w:p w:rsidR="00496572" w:rsidRPr="00496572" w:rsidRDefault="00496572" w:rsidP="00496572">
      <w:pPr>
        <w:ind w:firstLine="567"/>
        <w:rPr>
          <w:sz w:val="24"/>
          <w:szCs w:val="24"/>
        </w:rPr>
      </w:pPr>
    </w:p>
    <w:p w:rsidR="00496572" w:rsidRPr="00496572" w:rsidRDefault="00496572" w:rsidP="00496572">
      <w:pPr>
        <w:ind w:right="-144"/>
        <w:jc w:val="center"/>
        <w:rPr>
          <w:b/>
          <w:sz w:val="24"/>
          <w:szCs w:val="24"/>
        </w:rPr>
      </w:pPr>
      <w:r w:rsidRPr="00496572">
        <w:rPr>
          <w:b/>
          <w:sz w:val="24"/>
          <w:szCs w:val="24"/>
        </w:rPr>
        <w:t>Результаты  голосования: за – 6 человек, против – нет, воздержались – нет.</w:t>
      </w:r>
    </w:p>
    <w:p w:rsidR="007057F1" w:rsidRDefault="007057F1" w:rsidP="007057F1">
      <w:pPr>
        <w:ind w:right="-144" w:firstLine="567"/>
        <w:jc w:val="both"/>
        <w:rPr>
          <w:sz w:val="24"/>
          <w:szCs w:val="24"/>
        </w:rPr>
      </w:pPr>
    </w:p>
    <w:p w:rsidR="00496572" w:rsidRDefault="00496572" w:rsidP="007057F1">
      <w:pPr>
        <w:ind w:right="-144" w:firstLine="567"/>
        <w:jc w:val="both"/>
        <w:rPr>
          <w:sz w:val="24"/>
          <w:szCs w:val="24"/>
        </w:rPr>
      </w:pPr>
    </w:p>
    <w:p w:rsidR="00496572" w:rsidRDefault="00496572" w:rsidP="007057F1">
      <w:pPr>
        <w:ind w:right="-144" w:firstLine="567"/>
        <w:jc w:val="both"/>
        <w:rPr>
          <w:sz w:val="24"/>
          <w:szCs w:val="24"/>
        </w:rPr>
      </w:pPr>
    </w:p>
    <w:p w:rsidR="00496572" w:rsidRDefault="00496572"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96572">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С.Г. Чащихина</w:t>
      </w:r>
    </w:p>
    <w:p w:rsidR="00BD37E4" w:rsidRDefault="00BD37E4" w:rsidP="00BD37E4">
      <w:pPr>
        <w:autoSpaceDE w:val="0"/>
        <w:autoSpaceDN w:val="0"/>
        <w:adjustRightInd w:val="0"/>
        <w:ind w:right="-1"/>
        <w:jc w:val="both"/>
        <w:rPr>
          <w:sz w:val="24"/>
          <w:szCs w:val="24"/>
        </w:rPr>
      </w:pPr>
    </w:p>
    <w:p w:rsidR="00496572" w:rsidRDefault="00496572"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96572">
        <w:rPr>
          <w:sz w:val="24"/>
          <w:szCs w:val="24"/>
        </w:rPr>
        <w:t xml:space="preserve">  </w:t>
      </w:r>
      <w:r>
        <w:rPr>
          <w:sz w:val="24"/>
          <w:szCs w:val="24"/>
        </w:rPr>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496572">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96572">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496572">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496572">
      <w:pgSz w:w="11906" w:h="16838"/>
      <w:pgMar w:top="993"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B692A"/>
    <w:multiLevelType w:val="hybridMultilevel"/>
    <w:tmpl w:val="9F10C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627EB"/>
    <w:rsid w:val="002F2728"/>
    <w:rsid w:val="003B6B87"/>
    <w:rsid w:val="003C3D4D"/>
    <w:rsid w:val="003F6A3E"/>
    <w:rsid w:val="00496572"/>
    <w:rsid w:val="005A40CD"/>
    <w:rsid w:val="007057F1"/>
    <w:rsid w:val="007244AB"/>
    <w:rsid w:val="007753ED"/>
    <w:rsid w:val="0084613E"/>
    <w:rsid w:val="00894DB5"/>
    <w:rsid w:val="00900E45"/>
    <w:rsid w:val="00932E36"/>
    <w:rsid w:val="009A63CA"/>
    <w:rsid w:val="00A34C6B"/>
    <w:rsid w:val="00A36B0E"/>
    <w:rsid w:val="00B756D9"/>
    <w:rsid w:val="00BA2D33"/>
    <w:rsid w:val="00BD37E4"/>
    <w:rsid w:val="00E35AB1"/>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496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49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955209624">
      <w:bodyDiv w:val="1"/>
      <w:marLeft w:val="0"/>
      <w:marRight w:val="0"/>
      <w:marTop w:val="0"/>
      <w:marBottom w:val="0"/>
      <w:divBdr>
        <w:top w:val="none" w:sz="0" w:space="0" w:color="auto"/>
        <w:left w:val="none" w:sz="0" w:space="0" w:color="auto"/>
        <w:bottom w:val="none" w:sz="0" w:space="0" w:color="auto"/>
        <w:right w:val="none" w:sz="0" w:space="0" w:color="auto"/>
      </w:divBdr>
    </w:div>
    <w:div w:id="1433698193">
      <w:bodyDiv w:val="1"/>
      <w:marLeft w:val="0"/>
      <w:marRight w:val="0"/>
      <w:marTop w:val="0"/>
      <w:marBottom w:val="0"/>
      <w:divBdr>
        <w:top w:val="none" w:sz="0" w:space="0" w:color="auto"/>
        <w:left w:val="none" w:sz="0" w:space="0" w:color="auto"/>
        <w:bottom w:val="none" w:sz="0" w:space="0" w:color="auto"/>
        <w:right w:val="none" w:sz="0" w:space="0" w:color="auto"/>
      </w:divBdr>
    </w:div>
    <w:div w:id="1464812910">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7DC8555414F793EA89FA34F7CBFE294455B70E64B1F391630A44D8BE975C921C23615437CD6A373772DFR9HB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1556</Words>
  <Characters>8872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Сурен Георгиевич Зороян</cp:lastModifiedBy>
  <cp:revision>26</cp:revision>
  <cp:lastPrinted>2019-02-08T13:06:00Z</cp:lastPrinted>
  <dcterms:created xsi:type="dcterms:W3CDTF">2014-10-27T07:45:00Z</dcterms:created>
  <dcterms:modified xsi:type="dcterms:W3CDTF">2019-03-25T13:25:00Z</dcterms:modified>
</cp:coreProperties>
</file>