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7D2C5E">
        <w:rPr>
          <w:b/>
          <w:color w:val="000000"/>
          <w:sz w:val="24"/>
          <w:szCs w:val="24"/>
        </w:rPr>
        <w:t>49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D2C5E" w:rsidP="007057F1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7057F1">
        <w:rPr>
          <w:sz w:val="24"/>
          <w:szCs w:val="24"/>
        </w:rPr>
        <w:t xml:space="preserve"> 201</w:t>
      </w:r>
      <w:r w:rsidR="00FC76C7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</w:t>
      </w:r>
      <w:r>
        <w:rPr>
          <w:sz w:val="24"/>
          <w:szCs w:val="24"/>
        </w:rPr>
        <w:t xml:space="preserve">                                </w:t>
      </w:r>
      <w:r w:rsidR="007057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B756D9" w:rsidRPr="00900E45" w:rsidRDefault="00B756D9" w:rsidP="00900E45">
      <w:pPr>
        <w:ind w:firstLine="567"/>
        <w:jc w:val="both"/>
        <w:rPr>
          <w:sz w:val="24"/>
          <w:szCs w:val="24"/>
        </w:rPr>
      </w:pPr>
    </w:p>
    <w:p w:rsidR="00A34C6B" w:rsidRDefault="00A34C6B" w:rsidP="007D2C5E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D2C5E" w:rsidRPr="007D2C5E" w:rsidRDefault="007D2C5E" w:rsidP="007D2C5E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D2C5E">
        <w:rPr>
          <w:sz w:val="24"/>
          <w:szCs w:val="24"/>
        </w:rPr>
        <w:t>1.</w:t>
      </w:r>
      <w:r w:rsidRPr="007D2C5E">
        <w:rPr>
          <w:sz w:val="24"/>
          <w:szCs w:val="24"/>
        </w:rPr>
        <w:tab/>
        <w:t>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2020 год.</w:t>
      </w:r>
    </w:p>
    <w:p w:rsidR="007D2C5E" w:rsidRPr="007D2C5E" w:rsidRDefault="007D2C5E" w:rsidP="007D2C5E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D2C5E">
        <w:rPr>
          <w:sz w:val="24"/>
          <w:szCs w:val="24"/>
        </w:rPr>
        <w:t>2.</w:t>
      </w:r>
      <w:r w:rsidRPr="007D2C5E">
        <w:rPr>
          <w:sz w:val="24"/>
          <w:szCs w:val="24"/>
        </w:rPr>
        <w:tab/>
        <w:t>Об установлении платы за технологическое присоединение к сетям газораспределения общества с ограниченной ответственностью «</w:t>
      </w:r>
      <w:proofErr w:type="spellStart"/>
      <w:r w:rsidRPr="007D2C5E">
        <w:rPr>
          <w:sz w:val="24"/>
          <w:szCs w:val="24"/>
        </w:rPr>
        <w:t>ПетербургГаз</w:t>
      </w:r>
      <w:proofErr w:type="spellEnd"/>
      <w:r w:rsidRPr="007D2C5E">
        <w:rPr>
          <w:sz w:val="24"/>
          <w:szCs w:val="24"/>
        </w:rPr>
        <w:t>» газоиспользующего оборудования по заявке общества с ограниченной ответственностью «ЯКОБС ДАУ ЭГБЕРТС РУС» (объект присоединения – завод по производству и расфасовке растворимого кофе), расположенного по адресу: Ленинградская область, Ломоносовский район, производственная зона «</w:t>
      </w:r>
      <w:proofErr w:type="spellStart"/>
      <w:r w:rsidRPr="007D2C5E">
        <w:rPr>
          <w:sz w:val="24"/>
          <w:szCs w:val="24"/>
        </w:rPr>
        <w:t>Горелово</w:t>
      </w:r>
      <w:proofErr w:type="spellEnd"/>
      <w:r w:rsidRPr="007D2C5E">
        <w:rPr>
          <w:sz w:val="24"/>
          <w:szCs w:val="24"/>
        </w:rPr>
        <w:t xml:space="preserve">», квартал № 12, </w:t>
      </w:r>
      <w:proofErr w:type="spellStart"/>
      <w:r w:rsidRPr="007D2C5E">
        <w:rPr>
          <w:sz w:val="24"/>
          <w:szCs w:val="24"/>
        </w:rPr>
        <w:t>Волхонское</w:t>
      </w:r>
      <w:proofErr w:type="spellEnd"/>
      <w:r w:rsidRPr="007D2C5E">
        <w:rPr>
          <w:sz w:val="24"/>
          <w:szCs w:val="24"/>
        </w:rPr>
        <w:t xml:space="preserve"> шоссе, д. 7/1, кадастровый номер земельного участка № 47-АВ 524788, по </w:t>
      </w:r>
      <w:proofErr w:type="gramStart"/>
      <w:r w:rsidRPr="007D2C5E">
        <w:rPr>
          <w:sz w:val="24"/>
          <w:szCs w:val="24"/>
        </w:rPr>
        <w:t>индивидуальному проекту</w:t>
      </w:r>
      <w:proofErr w:type="gramEnd"/>
      <w:r w:rsidRPr="007D2C5E">
        <w:rPr>
          <w:sz w:val="24"/>
          <w:szCs w:val="24"/>
        </w:rPr>
        <w:t>.</w:t>
      </w:r>
    </w:p>
    <w:p w:rsidR="007057F1" w:rsidRPr="007D2C5E" w:rsidRDefault="007D2C5E" w:rsidP="007D2C5E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</w:pPr>
      <w:r w:rsidRPr="007D2C5E">
        <w:rPr>
          <w:sz w:val="24"/>
          <w:szCs w:val="24"/>
        </w:rPr>
        <w:t>3.</w:t>
      </w:r>
      <w:r w:rsidRPr="007D2C5E">
        <w:rPr>
          <w:sz w:val="24"/>
          <w:szCs w:val="24"/>
        </w:rPr>
        <w:tab/>
        <w:t>О внесении изменений в некоторые приказы комитета по тарифам и ценовой политике Ленинградской области</w:t>
      </w:r>
      <w:proofErr w:type="gramStart"/>
      <w:r w:rsidRPr="007D2C5E">
        <w:rPr>
          <w:sz w:val="24"/>
          <w:szCs w:val="24"/>
        </w:rPr>
        <w:t>.</w:t>
      </w:r>
      <w:proofErr w:type="gramEnd"/>
      <w:r w:rsidRPr="007D2C5E">
        <w:rPr>
          <w:sz w:val="24"/>
          <w:szCs w:val="24"/>
        </w:rPr>
        <w:t xml:space="preserve"> </w:t>
      </w:r>
      <w:r w:rsidRPr="007D2C5E">
        <w:t>(</w:t>
      </w:r>
      <w:proofErr w:type="gramStart"/>
      <w:r w:rsidRPr="007D2C5E">
        <w:t>в</w:t>
      </w:r>
      <w:proofErr w:type="gramEnd"/>
      <w:r w:rsidRPr="007D2C5E">
        <w:t xml:space="preserve"> приказы ЛенРТК от 17.12.2018 № 418-п, № 429-п, № 427-п, от 06.12.2018 № 378-п, </w:t>
      </w:r>
      <w:r>
        <w:br/>
      </w:r>
      <w:r w:rsidRPr="007D2C5E">
        <w:t>№ 379-п, от 20.12.2019 от 30.11.2018 № 270-п, № 557-п)</w:t>
      </w:r>
    </w:p>
    <w:p w:rsidR="007057F1" w:rsidRDefault="007057F1" w:rsidP="007D2C5E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7D2C5E" w:rsidRDefault="007D2C5E" w:rsidP="007D2C5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По вопросу повестки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2020 год»</w:t>
      </w:r>
      <w:r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справки к экспертному заключению по экономическому обоснованию расчета размера платы за технологическое присоединение газоиспользующего оборудования с проектным рабочим давлением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присоединяемом газопроводе не более 0,3 МПа и выпадающих доходов газораспределительных организаций Ленинградской области на территории Ленинградской области на 2020 год, подготовленного на основании заявления акционерного общества «Газпром газораспределение Ленинградской области»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26.09.2019 № КТ-1-5547/2019) и заявления ООО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01.10.2019 № КТ-1-5647/2019).</w:t>
      </w:r>
      <w:proofErr w:type="gramEnd"/>
    </w:p>
    <w:p w:rsidR="007D2C5E" w:rsidRDefault="007D2C5E" w:rsidP="007D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представленных АО «Газпром газораспределение Ленинградская область» 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 расчетных и обосновывающих материалов, ЛенРТК предложил установить:</w:t>
      </w:r>
    </w:p>
    <w:p w:rsidR="007D2C5E" w:rsidRDefault="007D2C5E" w:rsidP="007D2C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плату за технологическое присоединение к сетям газораспределения газораспределительных организаций Ленинградской области (АО «Газпром газораспределение Ленинградская область», ООО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») на территории Ленинградской области газоиспользующего оборудования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Заявителей (для Заявителей, намеревающихся использовать газ для целей предпринимательской (коммерческой) деятельности), в размере</w:t>
      </w:r>
      <w:proofErr w:type="gramEnd"/>
      <w:r>
        <w:rPr>
          <w:sz w:val="24"/>
          <w:szCs w:val="24"/>
        </w:rPr>
        <w:t xml:space="preserve"> 54 599,00 рублей (без учета налога на добавленную стоимость);</w:t>
      </w:r>
    </w:p>
    <w:p w:rsidR="007D2C5E" w:rsidRDefault="007D2C5E" w:rsidP="007D2C5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плату за технологическое присоединение к сетям газораспределения газораспределительных организаций Ленинградской области (АО «Газпром газораспределение Ленинградская область», ООО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 xml:space="preserve">») на территории Ленинградской области газоиспользующего оборудования с максимальным расходом газа, не превышающим 5 куб. метров в час, с учетом расхода газа ранее </w:t>
      </w:r>
      <w:r>
        <w:rPr>
          <w:sz w:val="24"/>
          <w:szCs w:val="24"/>
        </w:rPr>
        <w:lastRenderedPageBreak/>
        <w:t>подключенного в данной точке подключения газоиспользующего оборудования Заявителей (для прочих Заявителей), в размере 54 287,00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руб. (с учетом налога на</w:t>
      </w:r>
      <w:proofErr w:type="gramEnd"/>
      <w:r>
        <w:rPr>
          <w:sz w:val="24"/>
          <w:szCs w:val="24"/>
        </w:rPr>
        <w:t xml:space="preserve"> добавленную стоимость);</w:t>
      </w:r>
    </w:p>
    <w:p w:rsidR="007D2C5E" w:rsidRDefault="007D2C5E" w:rsidP="007D2C5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что указанные размеры платы применяются при условии, что расстояние от газоиспользующего оборудования Заявителей до сети газораспределения газораспределительных организаций Ленинградской области на территории Ленинградской области (АО «Газпром газораспределение Ленинградская область», ООО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»), с проектным рабочим давлением в присоединяемом газопроводе не более 0,3 МПа, измеряемое по прямой линии до точки подключения, составляет не более 200 метров и сами мероприятия предполагают строительство только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газопроводов (без необходимости выполнения мероприятий по прокладке газопроводов бестраншейным способом и устройства пункта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газом, за исключением случаев, когда отсутствует необходимость строительства исполнителем сети газораспределения до границ земельного участка заявителя;</w:t>
      </w:r>
      <w:proofErr w:type="gramEnd"/>
    </w:p>
    <w:p w:rsidR="007D2C5E" w:rsidRDefault="007D2C5E" w:rsidP="007D2C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выпадающие доходы акционерного общества «Газпром газораспределение Ленинградская область» (по итогам хозяйственной деятельности за первое полугодие 2019 года) от присоединения газоиспользующего оборудования заявителей с максимальным расходом газа, не превышающим 15 куб. метров в час (для заявителей, намеревающихся использовать газ для целей предпринимательской (коммерческой) деятельности), или 5 куб. метров в час (для прочих заявителей) к сетям газораспределения акционерного общества «Газпром газораспределение Ленинградская</w:t>
      </w:r>
      <w:proofErr w:type="gramEnd"/>
      <w:r>
        <w:rPr>
          <w:sz w:val="24"/>
          <w:szCs w:val="24"/>
        </w:rPr>
        <w:t xml:space="preserve"> область», с проектным рабочим давлением в присоединяемом газопроводе не более 0,3 МПа, на 2020 год определены ЛенРТК в размере 2 605 240,26 руб., включаемые в специальную надбавку к тарифу на услуги по транспортировке газа по газораспределительным сетям на 2020 год;</w:t>
      </w:r>
    </w:p>
    <w:p w:rsidR="007D2C5E" w:rsidRDefault="007D2C5E" w:rsidP="007D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выпадающие доход</w:t>
      </w:r>
      <w:proofErr w:type="gramStart"/>
      <w:r>
        <w:rPr>
          <w:sz w:val="24"/>
          <w:szCs w:val="24"/>
        </w:rPr>
        <w:t>ы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 от присоединения газоиспользующего оборудования заявителей к сетям газораспределения открытого акционерного общества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», с проектным рабочим давлением в присоединяемом газопроводе не более 0,3 МПа, на 2020 год – 00,00 руб.</w:t>
      </w:r>
    </w:p>
    <w:p w:rsidR="007D2C5E" w:rsidRDefault="007D2C5E" w:rsidP="007D2C5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 представлено письмо о согласии с предлагаемым уровнем  платы за технологическое присоединение газоиспользующего оборудования и размером выпадающих доходов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от 26.12.2019 № КТ-1-8271/2019). </w:t>
      </w:r>
    </w:p>
    <w:p w:rsidR="007D2C5E" w:rsidRDefault="007D2C5E" w:rsidP="007D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Присутствовавшая на заседании </w:t>
      </w:r>
      <w:r>
        <w:rPr>
          <w:color w:val="000000"/>
          <w:sz w:val="24"/>
          <w:szCs w:val="24"/>
        </w:rPr>
        <w:t xml:space="preserve">Правления ЛенРТК представитель АО «Газпром газораспределение Ленинградской области» </w:t>
      </w:r>
      <w:proofErr w:type="spellStart"/>
      <w:r>
        <w:rPr>
          <w:sz w:val="24"/>
          <w:szCs w:val="24"/>
        </w:rPr>
        <w:t>Кипурова</w:t>
      </w:r>
      <w:proofErr w:type="spellEnd"/>
      <w:r>
        <w:rPr>
          <w:sz w:val="24"/>
          <w:szCs w:val="24"/>
        </w:rPr>
        <w:t xml:space="preserve"> Н.В. (действующая по доверенности </w:t>
      </w:r>
      <w:r>
        <w:rPr>
          <w:sz w:val="24"/>
          <w:szCs w:val="24"/>
        </w:rPr>
        <w:br/>
        <w:t>№ 58-04 от 09.04.2019)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выразила согласие организации с уровнем размера платы за </w:t>
      </w:r>
      <w:r>
        <w:rPr>
          <w:sz w:val="24"/>
          <w:szCs w:val="24"/>
        </w:rPr>
        <w:t>технологическое присоединение газоиспользующего оборудования с проектным рабочим давлением в присоединяемом газопроводе не более 0,3 Мпа, и размером выпадающих доходов в устной форме.</w:t>
      </w:r>
    </w:p>
    <w:p w:rsidR="007D2C5E" w:rsidRDefault="007D2C5E" w:rsidP="007D2C5E">
      <w:pPr>
        <w:ind w:firstLine="567"/>
        <w:jc w:val="both"/>
        <w:rPr>
          <w:color w:val="000000"/>
          <w:sz w:val="24"/>
          <w:szCs w:val="24"/>
        </w:rPr>
      </w:pPr>
    </w:p>
    <w:p w:rsidR="007D2C5E" w:rsidRDefault="007D2C5E" w:rsidP="007D2C5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7D2C5E" w:rsidRDefault="007D2C5E" w:rsidP="007D2C5E">
      <w:pPr>
        <w:ind w:firstLine="567"/>
        <w:jc w:val="both"/>
        <w:rPr>
          <w:b/>
          <w:sz w:val="24"/>
          <w:szCs w:val="24"/>
        </w:rPr>
      </w:pPr>
    </w:p>
    <w:p w:rsidR="007D2C5E" w:rsidRDefault="007D2C5E" w:rsidP="007D2C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Установить плату за технологическое присоединение к сетям газораспределения газораспределительных организаций Ленинградской области (АО «Газпром газораспределение Ленинградская область», ООО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») на территории Ленинградской области газоиспользующего оборудования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Заявителей (для Заявителей, намеревающихся использовать газ для целей предпринимательской (коммерческой) деятельности),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54 599,00 рублей (без учета налога на добавленную стоимость).</w:t>
      </w:r>
    </w:p>
    <w:p w:rsidR="007D2C5E" w:rsidRDefault="007D2C5E" w:rsidP="007D2C5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Установить плату за технологическое присоединение к сетям газораспределения газораспределительных организаций Ленинградской области (АО «Газпром газораспределение Ленинградская область», ООО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 xml:space="preserve">») на территории Ленинградской области газоиспользующего оборудования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</w:t>
      </w:r>
      <w:r>
        <w:rPr>
          <w:sz w:val="24"/>
          <w:szCs w:val="24"/>
        </w:rPr>
        <w:lastRenderedPageBreak/>
        <w:t>оборудования Заявителей (для прочих Заявителей), в размере 54 287,00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руб. (с учетом налога</w:t>
      </w:r>
      <w:proofErr w:type="gramEnd"/>
      <w:r>
        <w:rPr>
          <w:sz w:val="24"/>
          <w:szCs w:val="24"/>
        </w:rPr>
        <w:t xml:space="preserve"> на добавленную стоимость).</w:t>
      </w:r>
    </w:p>
    <w:p w:rsidR="007D2C5E" w:rsidRDefault="007D2C5E" w:rsidP="007D2C5E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Размер платы, установленный в пунктах 1, 2 настоящего приказа, применяется при условии, что расстояние от газоиспользующего оборудования Заявителей до сети газораспределения газораспределительных организаций Ленинградской области на территории Ленинградской области, перечисленных в приложении 1 к приказу 30.12.2019 года                                                                                                                   № 751-п, с проектным рабочим давлением в присоединяемом газопроводе не более 0,3 МПа, измеряемое по прямой линии до точки подключения, составляет не более 200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метров и сами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пункта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газом, за исключением случаев, когда отсутствует необходимость строительства исполнителем сети</w:t>
      </w:r>
      <w:proofErr w:type="gramEnd"/>
      <w:r>
        <w:rPr>
          <w:sz w:val="24"/>
          <w:szCs w:val="24"/>
        </w:rPr>
        <w:t xml:space="preserve"> газораспределения до границ земельного участка заявителя.</w:t>
      </w:r>
    </w:p>
    <w:p w:rsidR="007D2C5E" w:rsidRDefault="007D2C5E" w:rsidP="007D2C5E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Установить выпадающие доходы акционерного общества «Газпром газораспределение Ленинградская область» (по итогам хозяйственной деятельности за первое полугодие 2019 года) от присоединения газоиспользующего оборудования заявителей с максимальным расходом газа, не превышающим 15 куб. метров в час (для заявителей, намеревающихся использовать газ для целей предпринимательской (коммерческой) деятельности), или 5 куб. метров в час (для прочих заявителей) к сетям газораспределения акционерного общества «Газпром газораспределение</w:t>
      </w:r>
      <w:proofErr w:type="gramEnd"/>
      <w:r>
        <w:rPr>
          <w:sz w:val="24"/>
          <w:szCs w:val="24"/>
        </w:rPr>
        <w:t xml:space="preserve"> Ленинградская область», с проектным рабочим давлением в присоединяемом газопроводе не более 0,3 МПа, на 2020 год определены ЛенРТК в размере 2 605 240,26 руб., включаемые в специальную надбавку к тарифу на услуги по транспортировке газа по газораспределительным сетям на 2020 год.</w:t>
      </w:r>
    </w:p>
    <w:p w:rsidR="007D2C5E" w:rsidRDefault="007D2C5E" w:rsidP="007D2C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Установить выпадающие доходы открытого акционерного общества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 от присоединения газоиспользующего оборудования заявителей к сетям газораспределения открытого акционерного общества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>», с проектным рабочим давлением в присоединяемом газопроводе не более 0,3 МПа, на 2020 год – 00,00 руб.</w:t>
      </w:r>
    </w:p>
    <w:p w:rsidR="007D2C5E" w:rsidRDefault="007D2C5E" w:rsidP="007D2C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Признать утратившим силу </w:t>
      </w:r>
      <w:hyperlink r:id="rId8" w:history="1">
        <w:r w:rsidRPr="007D2C5E">
          <w:rPr>
            <w:rStyle w:val="a5"/>
            <w:color w:val="auto"/>
            <w:sz w:val="24"/>
            <w:szCs w:val="24"/>
            <w:u w:val="none"/>
          </w:rPr>
          <w:t>приказ</w:t>
        </w:r>
      </w:hyperlink>
      <w:r w:rsidRPr="007D2C5E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 по тарифам и ценовой политике Ленинградской области от 27 декабря 2019 года № 745-п «Об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2020 год».</w:t>
      </w:r>
    </w:p>
    <w:p w:rsidR="007D2C5E" w:rsidRDefault="007D2C5E" w:rsidP="007D2C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62865</wp:posOffset>
                </wp:positionV>
                <wp:extent cx="45085" cy="123825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C5E" w:rsidRDefault="007D2C5E" w:rsidP="007D2C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0.15pt;margin-top:4.95pt;width:3.5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" stroked="f">
                <v:textbox>
                  <w:txbxContent>
                    <w:p w:rsidR="007D2C5E" w:rsidRDefault="007D2C5E" w:rsidP="007D2C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C5E" w:rsidRDefault="007D2C5E" w:rsidP="007D2C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газораспределительных организаций Ленинградской области, оказывающих услуги по транспортировке газа по газораспределительным сетям Ленинградской области, в отношении которых устанавливаются  тарифы на транспортировку газа по газораспределительным сетям Ленинградской области на территории Ленинградской области, на 2020 год 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5504"/>
        <w:gridCol w:w="2301"/>
        <w:gridCol w:w="1560"/>
      </w:tblGrid>
      <w:tr w:rsidR="007D2C5E" w:rsidTr="007D2C5E">
        <w:trPr>
          <w:trHeight w:val="50"/>
          <w:tblHeader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Полное наименование газораспределительной организации 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причины постановки на учет (КПП)</w:t>
            </w:r>
          </w:p>
        </w:tc>
      </w:tr>
      <w:tr w:rsidR="007D2C5E" w:rsidTr="007D2C5E">
        <w:trPr>
          <w:trHeight w:val="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Акционерное общество «Газпром газораспределение Ленинградская область»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4700000109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472450001</w:t>
            </w:r>
          </w:p>
        </w:tc>
      </w:tr>
      <w:tr w:rsidR="007D2C5E" w:rsidTr="007D2C5E">
        <w:trPr>
          <w:trHeight w:val="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«Петербург Газ»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7838017541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783450001</w:t>
            </w:r>
          </w:p>
        </w:tc>
      </w:tr>
    </w:tbl>
    <w:p w:rsidR="007D2C5E" w:rsidRDefault="007D2C5E" w:rsidP="007D2C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2C5E" w:rsidRDefault="007D2C5E" w:rsidP="007D2C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D2C5E" w:rsidRDefault="007D2C5E" w:rsidP="007D2C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280A" w:rsidRPr="00D3280A" w:rsidRDefault="007D2C5E" w:rsidP="00D3280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7D2C5E">
        <w:rPr>
          <w:b/>
          <w:sz w:val="24"/>
          <w:szCs w:val="24"/>
        </w:rPr>
        <w:t>По вопросу повестки</w:t>
      </w:r>
      <w:r w:rsidRPr="007D2C5E">
        <w:rPr>
          <w:sz w:val="24"/>
          <w:szCs w:val="24"/>
        </w:rPr>
        <w:t xml:space="preserve"> </w:t>
      </w:r>
      <w:r w:rsidRPr="007D2C5E">
        <w:rPr>
          <w:b/>
          <w:sz w:val="24"/>
          <w:szCs w:val="24"/>
        </w:rPr>
        <w:t>«Об установлении платы за технологическое присоединение к сетям газораспределения общества с ограниченной ответственностью «</w:t>
      </w:r>
      <w:proofErr w:type="spellStart"/>
      <w:r w:rsidRPr="007D2C5E">
        <w:rPr>
          <w:b/>
          <w:sz w:val="24"/>
          <w:szCs w:val="24"/>
        </w:rPr>
        <w:t>ПетербургГаз</w:t>
      </w:r>
      <w:proofErr w:type="spellEnd"/>
      <w:r w:rsidRPr="007D2C5E">
        <w:rPr>
          <w:b/>
          <w:sz w:val="24"/>
          <w:szCs w:val="24"/>
        </w:rPr>
        <w:t xml:space="preserve">» газоиспользующего оборудования по заявке общества с ограниченной ответственностью «ЯКОБС ДАУ ЭГБЕРТС РУС» (объект присоединения – завод по производству и расфасовке растворимого кофе), расположенного по адресу: </w:t>
      </w:r>
      <w:proofErr w:type="gramStart"/>
      <w:r w:rsidRPr="007D2C5E">
        <w:rPr>
          <w:b/>
          <w:sz w:val="24"/>
          <w:szCs w:val="24"/>
        </w:rPr>
        <w:t>Ленинградская область, Ломоносовский район, производственная зона «</w:t>
      </w:r>
      <w:proofErr w:type="spellStart"/>
      <w:r w:rsidRPr="007D2C5E">
        <w:rPr>
          <w:b/>
          <w:sz w:val="24"/>
          <w:szCs w:val="24"/>
        </w:rPr>
        <w:t>Горелово</w:t>
      </w:r>
      <w:proofErr w:type="spellEnd"/>
      <w:r w:rsidRPr="007D2C5E">
        <w:rPr>
          <w:b/>
          <w:sz w:val="24"/>
          <w:szCs w:val="24"/>
        </w:rPr>
        <w:t xml:space="preserve">», квартал № 12, </w:t>
      </w:r>
      <w:proofErr w:type="spellStart"/>
      <w:r w:rsidRPr="007D2C5E">
        <w:rPr>
          <w:b/>
          <w:sz w:val="24"/>
          <w:szCs w:val="24"/>
        </w:rPr>
        <w:t>Волхонское</w:t>
      </w:r>
      <w:proofErr w:type="spellEnd"/>
      <w:r w:rsidRPr="007D2C5E">
        <w:rPr>
          <w:b/>
          <w:sz w:val="24"/>
          <w:szCs w:val="24"/>
        </w:rPr>
        <w:t xml:space="preserve"> шоссе, д. 7/1, </w:t>
      </w:r>
      <w:r w:rsidRPr="007D2C5E">
        <w:rPr>
          <w:b/>
          <w:sz w:val="24"/>
          <w:szCs w:val="24"/>
        </w:rPr>
        <w:lastRenderedPageBreak/>
        <w:t>кадастровый номер земельного участка № 47-АВ 524788, по индивидуальному проекту»</w:t>
      </w:r>
      <w:r w:rsidRPr="007D2C5E">
        <w:rPr>
          <w:sz w:val="24"/>
          <w:szCs w:val="24"/>
        </w:rPr>
        <w:t xml:space="preserve"> </w:t>
      </w:r>
      <w:r w:rsidR="00D3280A" w:rsidRPr="00D3280A">
        <w:rPr>
          <w:sz w:val="24"/>
          <w:szCs w:val="24"/>
        </w:rPr>
        <w:t>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экономическому обоснованию расчета размера платы за технологическое присоединение к сетям газораспределения общества с ограниченной ответственностью</w:t>
      </w:r>
      <w:proofErr w:type="gramEnd"/>
      <w:r w:rsidR="00D3280A" w:rsidRPr="00D3280A">
        <w:rPr>
          <w:sz w:val="24"/>
          <w:szCs w:val="24"/>
        </w:rPr>
        <w:t xml:space="preserve"> «</w:t>
      </w:r>
      <w:proofErr w:type="spellStart"/>
      <w:r w:rsidR="00D3280A" w:rsidRPr="00D3280A">
        <w:rPr>
          <w:sz w:val="24"/>
          <w:szCs w:val="24"/>
        </w:rPr>
        <w:t>ПетербургГаз</w:t>
      </w:r>
      <w:proofErr w:type="spellEnd"/>
      <w:r w:rsidR="00D3280A" w:rsidRPr="00D3280A">
        <w:rPr>
          <w:sz w:val="24"/>
          <w:szCs w:val="24"/>
        </w:rPr>
        <w:t xml:space="preserve">» газоиспользующего оборудования по заявке общества с ограниченной ответственностью «ЯКОБС ДАУ ЭГБЕРТС РУС» (объект присоединения – завод по производству и расфасовке растворимого кофе), расположенного по адресу: </w:t>
      </w:r>
      <w:proofErr w:type="gramStart"/>
      <w:r w:rsidR="00D3280A" w:rsidRPr="00D3280A">
        <w:rPr>
          <w:sz w:val="24"/>
          <w:szCs w:val="24"/>
        </w:rPr>
        <w:t>Ленинградская область, Ломоносовский район, производственная зона «</w:t>
      </w:r>
      <w:proofErr w:type="spellStart"/>
      <w:r w:rsidR="00D3280A" w:rsidRPr="00D3280A">
        <w:rPr>
          <w:sz w:val="24"/>
          <w:szCs w:val="24"/>
        </w:rPr>
        <w:t>Горелово</w:t>
      </w:r>
      <w:proofErr w:type="spellEnd"/>
      <w:r w:rsidR="00D3280A" w:rsidRPr="00D3280A">
        <w:rPr>
          <w:sz w:val="24"/>
          <w:szCs w:val="24"/>
        </w:rPr>
        <w:t xml:space="preserve">», квартал № 12, </w:t>
      </w:r>
      <w:proofErr w:type="spellStart"/>
      <w:r w:rsidR="00D3280A" w:rsidRPr="00D3280A">
        <w:rPr>
          <w:sz w:val="24"/>
          <w:szCs w:val="24"/>
        </w:rPr>
        <w:t>Волхонское</w:t>
      </w:r>
      <w:proofErr w:type="spellEnd"/>
      <w:r w:rsidR="00D3280A" w:rsidRPr="00D3280A">
        <w:rPr>
          <w:sz w:val="24"/>
          <w:szCs w:val="24"/>
        </w:rPr>
        <w:t xml:space="preserve"> шоссе, д. 7/1, кадастровый номер земельного участка № 47-АВ 524788, по индивидуальному проекту, подготовленного на основании заявления общества с ограниченной ответственностью «</w:t>
      </w:r>
      <w:proofErr w:type="spellStart"/>
      <w:r w:rsidR="00D3280A" w:rsidRPr="00D3280A">
        <w:rPr>
          <w:sz w:val="24"/>
          <w:szCs w:val="24"/>
        </w:rPr>
        <w:t>ПетербургГаз</w:t>
      </w:r>
      <w:proofErr w:type="spellEnd"/>
      <w:r w:rsidR="00D3280A" w:rsidRPr="00D3280A">
        <w:rPr>
          <w:sz w:val="24"/>
          <w:szCs w:val="24"/>
        </w:rPr>
        <w:t xml:space="preserve">» (исх. от 18.12.2019 № КВ-14147/19 – </w:t>
      </w:r>
      <w:proofErr w:type="spellStart"/>
      <w:r w:rsidR="00D3280A" w:rsidRPr="00D3280A">
        <w:rPr>
          <w:sz w:val="24"/>
          <w:szCs w:val="24"/>
        </w:rPr>
        <w:t>вх</w:t>
      </w:r>
      <w:proofErr w:type="spellEnd"/>
      <w:r w:rsidR="00D3280A" w:rsidRPr="00D3280A">
        <w:rPr>
          <w:sz w:val="24"/>
          <w:szCs w:val="24"/>
        </w:rPr>
        <w:t>.</w:t>
      </w:r>
      <w:proofErr w:type="gramEnd"/>
      <w:r w:rsidR="00D3280A" w:rsidRPr="00D3280A">
        <w:rPr>
          <w:sz w:val="24"/>
          <w:szCs w:val="24"/>
        </w:rPr>
        <w:t xml:space="preserve"> ЛенРТК от 19.12.2019 № КТ-1-8098/2019).</w:t>
      </w:r>
    </w:p>
    <w:p w:rsidR="00D3280A" w:rsidRPr="00D3280A" w:rsidRDefault="00D3280A" w:rsidP="00D3280A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D3280A">
        <w:rPr>
          <w:snapToGrid w:val="0"/>
          <w:sz w:val="24"/>
          <w:szCs w:val="24"/>
        </w:rPr>
        <w:t>Общество с ограниченной ответственностью «</w:t>
      </w:r>
      <w:proofErr w:type="spellStart"/>
      <w:r w:rsidRPr="00D3280A">
        <w:rPr>
          <w:snapToGrid w:val="0"/>
          <w:sz w:val="24"/>
          <w:szCs w:val="24"/>
        </w:rPr>
        <w:t>ПетербургГаз</w:t>
      </w:r>
      <w:proofErr w:type="spellEnd"/>
      <w:r w:rsidRPr="00D3280A">
        <w:rPr>
          <w:snapToGrid w:val="0"/>
          <w:sz w:val="24"/>
          <w:szCs w:val="24"/>
        </w:rPr>
        <w:t>» выразило согласие с предлагаемым уровнем платы за технологическое присоединение в устной форме, с просьбой провести заседание правления комитета по тарифам и ценовой политике Ленинградской области по данному вопросу без участия официальных представителей организации.</w:t>
      </w:r>
    </w:p>
    <w:p w:rsidR="007D2C5E" w:rsidRPr="007D2C5E" w:rsidRDefault="007D2C5E" w:rsidP="007D2C5E">
      <w:pPr>
        <w:ind w:firstLine="567"/>
        <w:jc w:val="both"/>
        <w:rPr>
          <w:b/>
          <w:sz w:val="24"/>
          <w:szCs w:val="24"/>
        </w:rPr>
      </w:pPr>
    </w:p>
    <w:p w:rsidR="007D2C5E" w:rsidRPr="007D2C5E" w:rsidRDefault="007D2C5E" w:rsidP="007D2C5E">
      <w:pPr>
        <w:ind w:firstLine="567"/>
        <w:jc w:val="both"/>
        <w:rPr>
          <w:b/>
          <w:sz w:val="24"/>
          <w:szCs w:val="24"/>
        </w:rPr>
      </w:pPr>
      <w:r w:rsidRPr="007D2C5E">
        <w:rPr>
          <w:b/>
          <w:sz w:val="24"/>
          <w:szCs w:val="24"/>
        </w:rPr>
        <w:t xml:space="preserve">Правление приняло решение:  </w:t>
      </w:r>
    </w:p>
    <w:p w:rsidR="007D2C5E" w:rsidRPr="007D2C5E" w:rsidRDefault="007D2C5E" w:rsidP="007D2C5E">
      <w:pPr>
        <w:ind w:firstLine="567"/>
        <w:jc w:val="both"/>
        <w:rPr>
          <w:sz w:val="24"/>
          <w:szCs w:val="24"/>
        </w:rPr>
      </w:pPr>
      <w:r w:rsidRPr="007D2C5E">
        <w:rPr>
          <w:sz w:val="24"/>
          <w:szCs w:val="24"/>
        </w:rPr>
        <w:t>Установить плату за технологическое присоединение к сетям газораспределения общества с ограниченной ответственностью «</w:t>
      </w:r>
      <w:proofErr w:type="spellStart"/>
      <w:r w:rsidRPr="007D2C5E">
        <w:rPr>
          <w:sz w:val="24"/>
          <w:szCs w:val="24"/>
        </w:rPr>
        <w:t>ПетербургГаз</w:t>
      </w:r>
      <w:proofErr w:type="spellEnd"/>
      <w:r w:rsidRPr="007D2C5E">
        <w:rPr>
          <w:sz w:val="24"/>
          <w:szCs w:val="24"/>
        </w:rPr>
        <w:t>» газоиспользующего оборудования по заявке общества с ограниченной ответственностью «ЯКОБС ДАУ ЭГБЕРТС РУС» (объект присоединения – завод по производству и расфасовке растворимого кофе), расположенного по адресу: Ленинградская область, Ломоносовский район, производственная зона «</w:t>
      </w:r>
      <w:proofErr w:type="spellStart"/>
      <w:r w:rsidRPr="007D2C5E">
        <w:rPr>
          <w:sz w:val="24"/>
          <w:szCs w:val="24"/>
        </w:rPr>
        <w:t>Горелово</w:t>
      </w:r>
      <w:proofErr w:type="spellEnd"/>
      <w:r w:rsidRPr="007D2C5E">
        <w:rPr>
          <w:sz w:val="24"/>
          <w:szCs w:val="24"/>
        </w:rPr>
        <w:t xml:space="preserve">», квартал № 12, </w:t>
      </w:r>
      <w:proofErr w:type="spellStart"/>
      <w:r w:rsidRPr="007D2C5E">
        <w:rPr>
          <w:sz w:val="24"/>
          <w:szCs w:val="24"/>
        </w:rPr>
        <w:t>Волхонское</w:t>
      </w:r>
      <w:proofErr w:type="spellEnd"/>
      <w:r w:rsidRPr="007D2C5E">
        <w:rPr>
          <w:sz w:val="24"/>
          <w:szCs w:val="24"/>
        </w:rPr>
        <w:t xml:space="preserve"> шоссе, д. 7/1, кадастровый номер земельного участка № 47-АВ 524788, по </w:t>
      </w:r>
      <w:proofErr w:type="gramStart"/>
      <w:r w:rsidRPr="007D2C5E">
        <w:rPr>
          <w:sz w:val="24"/>
          <w:szCs w:val="24"/>
        </w:rPr>
        <w:t>индивидуальному проекту</w:t>
      </w:r>
      <w:proofErr w:type="gramEnd"/>
      <w:r w:rsidRPr="007D2C5E">
        <w:rPr>
          <w:sz w:val="24"/>
          <w:szCs w:val="24"/>
        </w:rPr>
        <w:t>, с максимальным расходом газа 1626,0 м3/час и проектным рабочим давлением в присоединяемом газопроводе 0,3-0,6 МПа, в следующем размере: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7330"/>
        <w:gridCol w:w="1967"/>
      </w:tblGrid>
      <w:tr w:rsidR="007D2C5E" w:rsidRPr="00D3280A" w:rsidTr="00D3280A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3280A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3280A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D3280A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3280A">
              <w:rPr>
                <w:b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0A">
              <w:rPr>
                <w:b/>
                <w:bCs/>
                <w:sz w:val="18"/>
                <w:szCs w:val="18"/>
              </w:rPr>
              <w:t>Планируемые расходы, руб.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3280A">
              <w:rPr>
                <w:b/>
                <w:sz w:val="18"/>
                <w:szCs w:val="18"/>
              </w:rPr>
              <w:t>Плата за технологическое присоединение газоиспользующего оборудования Заявителя, всего,</w:t>
            </w:r>
          </w:p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80A">
              <w:rPr>
                <w:b/>
                <w:bCs/>
                <w:color w:val="000000"/>
                <w:sz w:val="18"/>
                <w:szCs w:val="18"/>
              </w:rPr>
              <w:t>23 100,00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 xml:space="preserve">Расходы на разработку проектной документации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Строительство (реконструкция) стальных газопроводов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Строительство (реконструкция) полиэтиленовых газопроводов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 xml:space="preserve">Наземная (надземная) прокладка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 xml:space="preserve">Подземная прокладка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2.2.2.1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109 мм и менее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2.2.2.2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110 - 159 мм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2.2.2.3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160 - 224 мм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2.2.2.4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225 - 314 мм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2.2.2.5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315 - 399 мм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2.2.2.6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400 мм и выше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Строительство (реконструкция) газорегуляторных пунктов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Строительство (реконструкция) станций катодной защиты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2C5E" w:rsidRPr="00D3280A" w:rsidTr="007D2C5E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 xml:space="preserve">Расходы, связанные с мониторингом выполнения Заявителем технических условий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8 940,00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14 160,00</w:t>
            </w:r>
          </w:p>
        </w:tc>
      </w:tr>
      <w:tr w:rsidR="007D2C5E" w:rsidRPr="00D3280A" w:rsidTr="007D2C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Эффективная ставка налога на прибыль *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3280A">
              <w:rPr>
                <w:color w:val="000000"/>
                <w:sz w:val="18"/>
                <w:szCs w:val="18"/>
              </w:rPr>
              <w:t>15,5</w:t>
            </w:r>
            <w:r w:rsidRPr="00D3280A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7D2C5E" w:rsidRPr="00D3280A" w:rsidTr="007D2C5E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Pr="00D3280A" w:rsidRDefault="007D2C5E" w:rsidP="007D2C5E">
            <w:pPr>
              <w:jc w:val="center"/>
              <w:rPr>
                <w:color w:val="000000"/>
                <w:sz w:val="18"/>
                <w:szCs w:val="18"/>
              </w:rPr>
            </w:pPr>
            <w:r w:rsidRPr="00D3280A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7D2C5E" w:rsidRPr="007D2C5E" w:rsidRDefault="007D2C5E" w:rsidP="007D2C5E">
      <w:pPr>
        <w:rPr>
          <w:highlight w:val="yellow"/>
        </w:rPr>
      </w:pPr>
      <w:r w:rsidRPr="007D2C5E">
        <w:t xml:space="preserve">* Эффективная ставка налога на прибыль указывается </w:t>
      </w:r>
      <w:proofErr w:type="gramStart"/>
      <w:r w:rsidRPr="007D2C5E">
        <w:t>в</w:t>
      </w:r>
      <w:proofErr w:type="gramEnd"/>
      <w:r w:rsidRPr="007D2C5E">
        <w:t xml:space="preserve"> %.</w:t>
      </w:r>
    </w:p>
    <w:p w:rsidR="007D2C5E" w:rsidRPr="007D2C5E" w:rsidRDefault="007D2C5E" w:rsidP="007D2C5E">
      <w:pPr>
        <w:ind w:firstLine="567"/>
        <w:jc w:val="both"/>
        <w:rPr>
          <w:b/>
          <w:sz w:val="24"/>
          <w:szCs w:val="24"/>
        </w:rPr>
      </w:pPr>
    </w:p>
    <w:p w:rsidR="007D2C5E" w:rsidRDefault="007D2C5E" w:rsidP="007D2C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2C5E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D3280A" w:rsidRPr="007D2C5E" w:rsidRDefault="00D3280A" w:rsidP="007D2C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7D2C5E" w:rsidRDefault="007D2C5E" w:rsidP="007D2C5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По вопросу повестки «О внесении изменений в некоторые приказы комитета по тарифам и ценовой политике Ленинградской области»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в связи с реорганизацией предприятий, осуществляющих услуги по водоснабжению и водоотведению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 и установлением тарифов на указанные услуги для вновь образованного предприятия ГУП «Водоканал Ленинградской области» необходимо внести изменения в приказы комитета по тарифам и ценовой политике Ленинградской области, регламентирующие установление тарифов на горячую воду (горячее водоснабжение) для теплоснабжающих предприятий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района. </w:t>
      </w:r>
    </w:p>
    <w:p w:rsidR="007D2C5E" w:rsidRDefault="007D2C5E" w:rsidP="007D2C5E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 учетом установленных приказом ЛенРТК от 27 декабря 2019 года № 740-п                                «Об установлении тарифов на питьевую воду и водоотведение государственного унитарного предприятия «Водоканал Ленинградской области» для потребителей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на 2020 год требуется внести изменение в следующие приказы.</w:t>
      </w:r>
    </w:p>
    <w:p w:rsidR="007D2C5E" w:rsidRDefault="007D2C5E" w:rsidP="007D2C5E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7D2C5E" w:rsidRDefault="007D2C5E" w:rsidP="007D2C5E">
      <w:pPr>
        <w:ind w:left="-142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7D2C5E" w:rsidRDefault="007D2C5E" w:rsidP="007D2C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2C5E" w:rsidRDefault="007D2C5E" w:rsidP="007D2C5E">
      <w:pPr>
        <w:numPr>
          <w:ilvl w:val="0"/>
          <w:numId w:val="2"/>
        </w:numPr>
        <w:tabs>
          <w:tab w:val="left" w:pos="851"/>
        </w:tabs>
        <w:ind w:left="-14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Внести изменение в приказ комитета по тарифам и ценовой политике Ленинградской области от 17 декабря 2018 года № 418-п «Об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муниципального образования </w:t>
      </w:r>
      <w:proofErr w:type="spellStart"/>
      <w:r>
        <w:rPr>
          <w:rFonts w:eastAsia="Calibri"/>
          <w:sz w:val="24"/>
          <w:szCs w:val="24"/>
          <w:lang w:eastAsia="en-US"/>
        </w:rPr>
        <w:t>Ромашкинское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«Агентство услуг </w:t>
      </w:r>
      <w:proofErr w:type="spellStart"/>
      <w:r>
        <w:rPr>
          <w:rFonts w:eastAsia="Calibri"/>
          <w:sz w:val="24"/>
          <w:szCs w:val="24"/>
          <w:lang w:eastAsia="en-US"/>
        </w:rPr>
        <w:t>Ромашкинского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поселения» потребителям на территории Ленинградской области, на долгосрочный период регулирования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2019-2021 годов», изложив приложение 2 к приказу в следующей редакции:</w:t>
      </w:r>
    </w:p>
    <w:p w:rsidR="007D2C5E" w:rsidRDefault="007D2C5E" w:rsidP="007D2C5E">
      <w:pPr>
        <w:tabs>
          <w:tab w:val="left" w:pos="-3261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205"/>
        <w:gridCol w:w="2721"/>
        <w:gridCol w:w="2291"/>
        <w:gridCol w:w="2439"/>
      </w:tblGrid>
      <w:tr w:rsidR="007D2C5E" w:rsidTr="007D2C5E">
        <w:trPr>
          <w:trHeight w:val="2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с календарной разбивкой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тепловую энергию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Одноставочный</w:t>
            </w:r>
            <w:proofErr w:type="spellEnd"/>
            <w:r>
              <w:rPr>
                <w:color w:val="000000"/>
              </w:rPr>
              <w:t>, руб./Гкал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both"/>
              <w:rPr>
                <w:color w:val="000000"/>
              </w:rPr>
            </w:pPr>
            <w:r>
              <w:t>Для потребителей муниципального образования «</w:t>
            </w:r>
            <w:proofErr w:type="spellStart"/>
            <w:r>
              <w:t>Ромашкинское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r>
              <w:t>Открытая система теплоснабжения (горячего водоснабжения)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01.01.2019 по 30.06.2019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46,69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3267,95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01.07.2019 по 31.12.2019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62,24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3267,95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D2C5E" w:rsidRDefault="007D2C5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01.01.2020 по 30.06.2020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54,71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3267,95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D2C5E" w:rsidRDefault="007D2C5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01.07.2020 по 31.12.2020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54,71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3981,66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D2C5E" w:rsidRDefault="007D2C5E">
            <w:pPr>
              <w:jc w:val="center"/>
              <w:rPr>
                <w:color w:val="000000"/>
              </w:rPr>
            </w:pP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01.01.2021 по 30.06.2021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69,91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3501,73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C5E" w:rsidRDefault="007D2C5E">
            <w:pPr>
              <w:jc w:val="center"/>
              <w:rPr>
                <w:color w:val="000000"/>
              </w:rPr>
            </w:pP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01.07.2021 по 31.12.2021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72,70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3501,73</w:t>
            </w:r>
          </w:p>
        </w:tc>
      </w:tr>
    </w:tbl>
    <w:p w:rsidR="007D2C5E" w:rsidRDefault="007D2C5E" w:rsidP="007D2C5E">
      <w:pPr>
        <w:tabs>
          <w:tab w:val="left" w:pos="-3261"/>
        </w:tabs>
        <w:ind w:left="-284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».</w:t>
      </w:r>
    </w:p>
    <w:p w:rsidR="007D2C5E" w:rsidRDefault="007D2C5E" w:rsidP="007D2C5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Внести изменение в приказ комитета по тарифам и ценовой политике Ленинградской области от 17 декабря 2018 года № 429-п «Об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«Теплосеть Сосново» муниципального образования Сосновское сельское поселение муниципального образования </w:t>
      </w:r>
      <w:proofErr w:type="spellStart"/>
      <w:r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потребителям на территории Ленинградской области, на долгосрочный период регулирования 2019-2021 годов</w:t>
      </w:r>
      <w:proofErr w:type="gramEnd"/>
      <w:r>
        <w:rPr>
          <w:rFonts w:eastAsia="Calibri"/>
          <w:sz w:val="24"/>
          <w:szCs w:val="24"/>
          <w:lang w:eastAsia="en-US"/>
        </w:rPr>
        <w:t>», изложив приложение 2 к приказу в следующей редакции:</w:t>
      </w:r>
    </w:p>
    <w:p w:rsidR="007D2C5E" w:rsidRDefault="007D2C5E" w:rsidP="007D2C5E">
      <w:pPr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267"/>
        <w:gridCol w:w="2795"/>
        <w:gridCol w:w="2354"/>
        <w:gridCol w:w="2504"/>
      </w:tblGrid>
      <w:tr w:rsidR="007D2C5E" w:rsidTr="007D2C5E">
        <w:trPr>
          <w:trHeight w:val="2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с календарной разбивкой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Компонент на теплоноситель, </w:t>
            </w:r>
          </w:p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руб./куб. м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тепловую энергию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Одноставочный</w:t>
            </w:r>
            <w:proofErr w:type="spellEnd"/>
            <w:r>
              <w:rPr>
                <w:color w:val="000000"/>
              </w:rPr>
              <w:t>, руб./Гкал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1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потребителей муниципального образования «Сосновское сельское поселение» </w:t>
            </w:r>
            <w:proofErr w:type="spellStart"/>
            <w:r>
              <w:rPr>
                <w:color w:val="000000"/>
              </w:rPr>
              <w:t>Приозерского</w:t>
            </w:r>
            <w:proofErr w:type="spellEnd"/>
            <w:r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C5E" w:rsidRDefault="007D2C5E">
            <w:r>
              <w:lastRenderedPageBreak/>
              <w:t>1.1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C5E" w:rsidRDefault="007D2C5E">
            <w:pPr>
              <w:rPr>
                <w:color w:val="000000"/>
              </w:rPr>
            </w:pPr>
            <w:r>
              <w:rPr>
                <w:color w:val="000000"/>
              </w:rPr>
              <w:t>Открытая система теплоснабжения (горячего водоснабжения)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01.01.2019 по 30.06.2019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3953,04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01.07.2019 по 31.12.2019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3953,18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01.01.2020 по 30.06.2020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3953,18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01.07.2020 по 31.12.2020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5130,30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01.01.2021 по 30.06.2021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4113,68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5E" w:rsidRDefault="007D2C5E">
            <w:pPr>
              <w:jc w:val="center"/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01.07.2021 по 31.12.2021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4118,63</w:t>
            </w:r>
          </w:p>
        </w:tc>
      </w:tr>
    </w:tbl>
    <w:p w:rsidR="007D2C5E" w:rsidRDefault="007D2C5E" w:rsidP="007D2C5E">
      <w:pPr>
        <w:tabs>
          <w:tab w:val="left" w:pos="-3261"/>
        </w:tabs>
        <w:ind w:left="-284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».</w:t>
      </w:r>
    </w:p>
    <w:p w:rsidR="007D2C5E" w:rsidRDefault="007D2C5E" w:rsidP="007D2C5E">
      <w:pPr>
        <w:numPr>
          <w:ilvl w:val="0"/>
          <w:numId w:val="2"/>
        </w:numPr>
        <w:tabs>
          <w:tab w:val="left" w:pos="-284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Внести изменение в приказ комитета по тарифам и ценовой политике Ленинградской области от 30 ноября 2018 года № 270-п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>
        <w:rPr>
          <w:rFonts w:eastAsia="Calibri"/>
          <w:sz w:val="24"/>
          <w:szCs w:val="24"/>
          <w:lang w:eastAsia="en-US"/>
        </w:rPr>
        <w:t>ОблСервис</w:t>
      </w:r>
      <w:proofErr w:type="spellEnd"/>
      <w:r>
        <w:rPr>
          <w:rFonts w:eastAsia="Calibri"/>
          <w:sz w:val="24"/>
          <w:szCs w:val="24"/>
          <w:lang w:eastAsia="en-US"/>
        </w:rPr>
        <w:t>» потребителям на территории Ленинградской области, на долгосрочный период регулирования 2019-2023 годов», изложив приложение 2 к приказу в следующей редакции:</w:t>
      </w:r>
      <w:proofErr w:type="gramEnd"/>
    </w:p>
    <w:p w:rsidR="007D2C5E" w:rsidRDefault="007D2C5E" w:rsidP="007D2C5E">
      <w:pPr>
        <w:tabs>
          <w:tab w:val="left" w:pos="-3261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267"/>
        <w:gridCol w:w="2795"/>
        <w:gridCol w:w="2354"/>
        <w:gridCol w:w="2504"/>
      </w:tblGrid>
      <w:tr w:rsidR="007D2C5E" w:rsidTr="007D2C5E">
        <w:trPr>
          <w:trHeight w:val="2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с календарной разбивкой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тепловую энергию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Одноставочный</w:t>
            </w:r>
            <w:proofErr w:type="spellEnd"/>
            <w:r>
              <w:rPr>
                <w:color w:val="000000"/>
              </w:rPr>
              <w:t>, руб./Гкал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потребителей муниципального образования «</w:t>
            </w:r>
            <w:proofErr w:type="spellStart"/>
            <w:r>
              <w:rPr>
                <w:color w:val="000000"/>
              </w:rPr>
              <w:t>Красноозерное</w:t>
            </w:r>
            <w:proofErr w:type="spellEnd"/>
            <w:r>
              <w:rPr>
                <w:color w:val="000000"/>
              </w:rPr>
              <w:t xml:space="preserve"> сельское поселение» </w:t>
            </w:r>
            <w:proofErr w:type="spellStart"/>
            <w:r>
              <w:rPr>
                <w:color w:val="000000"/>
              </w:rPr>
              <w:t>Приозерского</w:t>
            </w:r>
            <w:proofErr w:type="spellEnd"/>
            <w:r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C5E" w:rsidRDefault="007D2C5E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E" w:rsidRDefault="007D2C5E">
            <w:pPr>
              <w:rPr>
                <w:color w:val="000000"/>
              </w:rPr>
            </w:pPr>
            <w:r>
              <w:rPr>
                <w:color w:val="000000"/>
              </w:rPr>
              <w:t>Открытая система теплоснабжения (горячего водоснабжения)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01.01.2019 по 30.06.2019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68,38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3003,07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01.07.2019 по 31.12.2019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71,53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3096,96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01.01.2020 по 30.06.2020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45,59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3096,96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01.07.2020 по 31.12.2020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45,59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3176,57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01.01.2021 по 30.06.2021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74,39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3048,30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01.07.2021 по 31.12.2021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77,36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3192,95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01.01.2022 по 30.06.2022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77,36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3192,95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01.07.2022 по 31.12.2022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80,46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3209,90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01.01.2023 по 30.06.2023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80,46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3209,90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01.07.2023 по 31.12.2023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83,67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3391,51</w:t>
            </w:r>
          </w:p>
        </w:tc>
      </w:tr>
    </w:tbl>
    <w:p w:rsidR="007D2C5E" w:rsidRDefault="007D2C5E" w:rsidP="007D2C5E">
      <w:pPr>
        <w:tabs>
          <w:tab w:val="left" w:pos="-3261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</w:t>
      </w:r>
      <w:r>
        <w:rPr>
          <w:rFonts w:eastAsia="Calibri"/>
          <w:sz w:val="24"/>
          <w:szCs w:val="24"/>
          <w:lang w:eastAsia="en-US"/>
        </w:rPr>
        <w:tab/>
        <w:t xml:space="preserve">           ».</w:t>
      </w:r>
    </w:p>
    <w:p w:rsidR="007D2C5E" w:rsidRDefault="007D2C5E" w:rsidP="007D2C5E">
      <w:pPr>
        <w:numPr>
          <w:ilvl w:val="0"/>
          <w:numId w:val="2"/>
        </w:numPr>
        <w:tabs>
          <w:tab w:val="left" w:pos="-3261"/>
        </w:tabs>
        <w:ind w:left="-142" w:firstLine="1135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Внести изменение в приказ комитета по тарифам и ценовой политике Ленинградской области от 17 декабря 2018 года № 427-п «Об установлении долгосрочных параметров регулирования деятельности, тарифов на тепловую энергию и горячую воду, поставляемые закрытым акционерным обществом «</w:t>
      </w:r>
      <w:proofErr w:type="spellStart"/>
      <w:r>
        <w:rPr>
          <w:rFonts w:eastAsia="Calibri"/>
          <w:sz w:val="24"/>
          <w:szCs w:val="24"/>
          <w:lang w:eastAsia="en-US"/>
        </w:rPr>
        <w:t>Сосновоагропромтехника</w:t>
      </w:r>
      <w:proofErr w:type="spellEnd"/>
      <w:r>
        <w:rPr>
          <w:rFonts w:eastAsia="Calibri"/>
          <w:sz w:val="24"/>
          <w:szCs w:val="24"/>
          <w:lang w:eastAsia="en-US"/>
        </w:rPr>
        <w:t>» потребителям на территории Ленинградской области, на долгосрочный период регулирования 2019-2023 годов», изложив приложение 2 к приказу в следующей редакции:</w:t>
      </w:r>
      <w:proofErr w:type="gramEnd"/>
    </w:p>
    <w:p w:rsidR="007D2C5E" w:rsidRDefault="007D2C5E" w:rsidP="007D2C5E">
      <w:pPr>
        <w:tabs>
          <w:tab w:val="left" w:pos="-3261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016"/>
        <w:gridCol w:w="2977"/>
        <w:gridCol w:w="2550"/>
        <w:gridCol w:w="2377"/>
      </w:tblGrid>
      <w:tr w:rsidR="007D2C5E" w:rsidTr="007D2C5E">
        <w:trPr>
          <w:trHeight w:val="2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Вид системы теплоснабжения (горячего водоснабжения)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Год с календарной разбивкой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в том числе:</w:t>
            </w:r>
          </w:p>
        </w:tc>
      </w:tr>
      <w:tr w:rsidR="007D2C5E" w:rsidTr="007D2C5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Компонент на теплоноситель, руб./куб. м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Компонент на тепловую энергию</w:t>
            </w:r>
          </w:p>
        </w:tc>
      </w:tr>
      <w:tr w:rsidR="007D2C5E" w:rsidTr="007D2C5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7D2C5E" w:rsidTr="007D2C5E">
        <w:trPr>
          <w:trHeight w:val="6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1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both"/>
            </w:pPr>
            <w:r>
              <w:t>Для потребителей муниципальных образований «</w:t>
            </w:r>
            <w:proofErr w:type="spellStart"/>
            <w:r>
              <w:t>Раздольевское</w:t>
            </w:r>
            <w:proofErr w:type="spellEnd"/>
            <w:r>
              <w:t xml:space="preserve"> сельское  поселение», «Сосновское сельское поселение»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C5E" w:rsidRDefault="007D2C5E">
            <w:r>
              <w:t>1.1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E" w:rsidRDefault="007D2C5E">
            <w:r>
              <w:t>Открытая система теплоснабжения (горячего водоснабжения)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01.01.2019 по 30.06.2019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21,29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2543,34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01.07.2019 по 31.12.2019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22,27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2543,34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01.01.2020 по 30.06.2020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22,27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2370,00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01.07.2020 по 31.12.2020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82,83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2497,89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01.01.2021 по 30.06.2021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23,03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2455,40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01.07.2021 по 31.12.2021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23,95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2619,82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01.01.2022 по 30.06.2022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23,95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2498,82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01.07.2022 по 31.12.2022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24,91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2498,82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01.01.2023 по 30.06.2023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24,91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2498,82</w:t>
            </w:r>
          </w:p>
        </w:tc>
      </w:tr>
      <w:tr w:rsidR="007D2C5E" w:rsidTr="007D2C5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01.07.2023 по 31.12.2023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25,90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2722,07</w:t>
            </w:r>
          </w:p>
        </w:tc>
      </w:tr>
    </w:tbl>
    <w:p w:rsidR="007D2C5E" w:rsidRDefault="007D2C5E" w:rsidP="007D2C5E">
      <w:pPr>
        <w:tabs>
          <w:tab w:val="left" w:pos="-3261"/>
        </w:tabs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».</w:t>
      </w:r>
    </w:p>
    <w:p w:rsidR="007D2C5E" w:rsidRDefault="007D2C5E" w:rsidP="007D2C5E">
      <w:pPr>
        <w:numPr>
          <w:ilvl w:val="0"/>
          <w:numId w:val="2"/>
        </w:numPr>
        <w:tabs>
          <w:tab w:val="left" w:pos="993"/>
        </w:tabs>
        <w:ind w:left="-142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lastRenderedPageBreak/>
        <w:t>Внести изменения в приказ комитета по тарифам и ценовой политике Ленинградской области от 6 декабря 2019 года № 378-п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«Паритет» потребителям на территории Ленинградской области, на долгосрочный период регулирования 2020-2024 годов», изложив приложение 2 к приказу в следующей редакции:</w:t>
      </w:r>
      <w:proofErr w:type="gramEnd"/>
    </w:p>
    <w:p w:rsidR="007D2C5E" w:rsidRDefault="007D2C5E" w:rsidP="007D2C5E">
      <w:pPr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016"/>
        <w:gridCol w:w="2977"/>
        <w:gridCol w:w="2550"/>
        <w:gridCol w:w="2377"/>
      </w:tblGrid>
      <w:tr w:rsidR="007D2C5E" w:rsidTr="007D2C5E">
        <w:trPr>
          <w:trHeight w:val="2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Вид системы теплоснабжения (горячего водоснабжения)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Год с календарной разбивкой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в том числе: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Компонент на теплоноситель, руб./куб. м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Компонент на тепловую энергию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1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both"/>
            </w:pPr>
            <w:r>
              <w:t xml:space="preserve">Для потребителей муниципальных образований «Петровское сельское поселение»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7D2C5E" w:rsidTr="007D2C5E">
        <w:trPr>
          <w:trHeight w:val="2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C5E" w:rsidRDefault="007D2C5E">
            <w:r>
              <w:t>1.1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E" w:rsidRDefault="007D2C5E">
            <w:r>
              <w:t>Открытая система теплоснабжения (горячего водоснабжения)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01.01.2020 по 30.06.2020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31,00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3 172,99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01.07.2020 по 31.12.2020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82,37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3 385,47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01.01.2021 по 30.06.2021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31,79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3 385,47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01.07.2021 по 31.12.2021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32,74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3 387,17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01.01.2022 по 30.06.2022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32,74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3 387,17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01.07.2022 по 31.12.2022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33,72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3 670,34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01.01.2023 по 30.06.2023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32,72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3 670,34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01.07.2023 по 31.12.2023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34,73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3 648,99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01.01.2024 по 30.06.2024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34,73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3 648,99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01.07.2024 по 31.12.2024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</w:pPr>
            <w:r>
              <w:t>35,78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3 951,61</w:t>
            </w:r>
          </w:p>
        </w:tc>
      </w:tr>
    </w:tbl>
    <w:p w:rsidR="007D2C5E" w:rsidRDefault="007D2C5E" w:rsidP="007D2C5E">
      <w:pPr>
        <w:tabs>
          <w:tab w:val="left" w:pos="-3261"/>
        </w:tabs>
        <w:ind w:left="-284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».</w:t>
      </w:r>
    </w:p>
    <w:p w:rsidR="007D2C5E" w:rsidRDefault="007D2C5E" w:rsidP="007D2C5E">
      <w:pPr>
        <w:numPr>
          <w:ilvl w:val="0"/>
          <w:numId w:val="2"/>
        </w:numPr>
        <w:tabs>
          <w:tab w:val="left" w:pos="-3261"/>
        </w:tabs>
        <w:ind w:left="-142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Внести изменения в приказ комитета по тарифам и ценовой политике Ленинградской области от 6 декабря 2019 года № 379-п 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«ПАРИТЕТЪ» потребителям на территории Ленинградской области, на долгосрочный период регулирования 2020-2022 годов», изложив приложение 2 к приказу в следующей редакции:</w:t>
      </w:r>
      <w:proofErr w:type="gramEnd"/>
    </w:p>
    <w:p w:rsidR="007D2C5E" w:rsidRDefault="007D2C5E" w:rsidP="007D2C5E">
      <w:pPr>
        <w:tabs>
          <w:tab w:val="left" w:pos="-3261"/>
        </w:tabs>
        <w:ind w:left="-142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4887" w:type="pct"/>
        <w:tblLook w:val="04A0" w:firstRow="1" w:lastRow="0" w:firstColumn="1" w:lastColumn="0" w:noHBand="0" w:noVBand="1"/>
      </w:tblPr>
      <w:tblGrid>
        <w:gridCol w:w="702"/>
        <w:gridCol w:w="1881"/>
        <w:gridCol w:w="3368"/>
        <w:gridCol w:w="2069"/>
        <w:gridCol w:w="2305"/>
      </w:tblGrid>
      <w:tr w:rsidR="007D2C5E" w:rsidTr="007D2C5E">
        <w:trPr>
          <w:trHeight w:val="2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с календарной разбивкой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тепловую энергию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Одноставочный</w:t>
            </w:r>
            <w:proofErr w:type="spellEnd"/>
            <w:r>
              <w:rPr>
                <w:color w:val="000000"/>
              </w:rPr>
              <w:t>, руб./Гкал</w:t>
            </w:r>
          </w:p>
        </w:tc>
      </w:tr>
      <w:tr w:rsidR="007D2C5E" w:rsidTr="007D2C5E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both"/>
              <w:rPr>
                <w:color w:val="000000"/>
              </w:rPr>
            </w:pPr>
            <w:r>
              <w:t>Для потребителей муниципальных образований «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поселение», «</w:t>
            </w:r>
            <w:proofErr w:type="spellStart"/>
            <w:r>
              <w:t>Ларионовское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7D2C5E" w:rsidTr="007D2C5E">
        <w:trPr>
          <w:trHeight w:val="20"/>
        </w:trPr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E" w:rsidRDefault="007D2C5E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E" w:rsidRDefault="007D2C5E">
            <w:pPr>
              <w:rPr>
                <w:color w:val="000000"/>
              </w:rPr>
            </w:pPr>
            <w:r>
              <w:rPr>
                <w:color w:val="000000"/>
              </w:rPr>
              <w:t>Открытая система теплоснабжения (горячего водоснабжения)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с 01.01.2020 по 30.06.2020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4 441,19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с 01.07.2020 по 31.12.2020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4639,07</w:t>
            </w:r>
          </w:p>
        </w:tc>
      </w:tr>
      <w:tr w:rsidR="007D2C5E" w:rsidTr="007D2C5E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с 01.01.2021 по 30.06.2021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4639,07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с 01.07.2021 по 31.12.2021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4816,39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с 01.01.2022 по 30.06.2022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4816,39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</w:pPr>
            <w:r>
              <w:t>с 01.07.2022 по 31.12.2022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5013,17</w:t>
            </w:r>
          </w:p>
        </w:tc>
      </w:tr>
    </w:tbl>
    <w:p w:rsidR="007D2C5E" w:rsidRDefault="007D2C5E" w:rsidP="007D2C5E">
      <w:pPr>
        <w:ind w:left="567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».</w:t>
      </w:r>
    </w:p>
    <w:p w:rsidR="007D2C5E" w:rsidRDefault="007D2C5E" w:rsidP="007D2C5E">
      <w:pPr>
        <w:numPr>
          <w:ilvl w:val="0"/>
          <w:numId w:val="2"/>
        </w:numPr>
        <w:tabs>
          <w:tab w:val="left" w:pos="993"/>
        </w:tabs>
        <w:ind w:left="-14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Внести изменение в приказ комитета по тарифам и ценовой политике Ленинградской области от 20 декабря 2018 года № 557-п 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>
        <w:rPr>
          <w:rFonts w:eastAsia="Calibri"/>
          <w:sz w:val="24"/>
          <w:szCs w:val="24"/>
          <w:lang w:eastAsia="en-US"/>
        </w:rPr>
        <w:t>Энерго</w:t>
      </w:r>
      <w:proofErr w:type="spellEnd"/>
      <w:r>
        <w:rPr>
          <w:rFonts w:eastAsia="Calibri"/>
          <w:sz w:val="24"/>
          <w:szCs w:val="24"/>
          <w:lang w:eastAsia="en-US"/>
        </w:rPr>
        <w:t>-Ресурс» потребителям на территории Ленинградской области, на долгосрочный период регулирования 2019-2023годов», изложив приложение 2 к приказу в следующей редакции:</w:t>
      </w:r>
      <w:proofErr w:type="gramEnd"/>
    </w:p>
    <w:p w:rsidR="007D2C5E" w:rsidRDefault="007D2C5E" w:rsidP="007D2C5E">
      <w:pPr>
        <w:ind w:left="-14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pPr w:leftFromText="180" w:rightFromText="180" w:vertAnchor="text" w:horzAnchor="margin" w:tblpY="72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304"/>
        <w:gridCol w:w="2659"/>
        <w:gridCol w:w="2484"/>
        <w:gridCol w:w="2490"/>
      </w:tblGrid>
      <w:tr w:rsidR="007D2C5E" w:rsidTr="007D2C5E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с календарной разбивкой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тепловую энергию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Одноставочный</w:t>
            </w:r>
            <w:proofErr w:type="spellEnd"/>
            <w:r>
              <w:rPr>
                <w:color w:val="000000"/>
              </w:rPr>
              <w:t>, руб./Гкал</w:t>
            </w:r>
          </w:p>
        </w:tc>
      </w:tr>
      <w:tr w:rsidR="007D2C5E" w:rsidTr="007D2C5E">
        <w:trPr>
          <w:trHeight w:val="59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jc w:val="both"/>
              <w:rPr>
                <w:color w:val="000000"/>
              </w:rPr>
            </w:pPr>
            <w:r>
              <w:t>Для потребителей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Приозерское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городское поселение» </w:t>
            </w:r>
            <w:proofErr w:type="spellStart"/>
            <w:r>
              <w:rPr>
                <w:rFonts w:eastAsia="Calibri"/>
                <w:lang w:eastAsia="en-US"/>
              </w:rPr>
              <w:t>Приозерского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t>муниципального района Ленинградской области</w:t>
            </w:r>
          </w:p>
        </w:tc>
      </w:tr>
      <w:tr w:rsidR="007D2C5E" w:rsidTr="007D2C5E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C5E" w:rsidRDefault="007D2C5E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E" w:rsidRDefault="007D2C5E">
            <w:r>
              <w:t>Открытая система теплоснабжения (горячего водоснабжения),</w:t>
            </w:r>
          </w:p>
          <w:p w:rsidR="007D2C5E" w:rsidRDefault="007D2C5E">
            <w: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01.01.2019 по 30.06.2019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6,99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4530,56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01.07.2019 по 31.12.2019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7,16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4530,56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01.01.2020 по 30.06.2020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7,16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4217,40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01.07.2020 по 31.12.2020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11,80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4217,40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01.01.2021 по 30.06.2021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7,40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2400,75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01.07.2021 по 31.12.2021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7,70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2400,75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01.01.2022 по 30.06.2022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7,70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2400,75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01.07.2022 по 31.12.2022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8,01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2459,19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01.01.2023 по 30.06.2023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8,01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2459,19</w:t>
            </w:r>
          </w:p>
        </w:tc>
      </w:tr>
      <w:tr w:rsidR="007D2C5E" w:rsidTr="007D2C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/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с 01.07.2023 по 31.12.2023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8,33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5E" w:rsidRDefault="007D2C5E">
            <w:pPr>
              <w:ind w:left="-142" w:right="-108"/>
              <w:contextualSpacing/>
              <w:jc w:val="center"/>
            </w:pPr>
            <w:r>
              <w:t>2529,18</w:t>
            </w:r>
          </w:p>
        </w:tc>
      </w:tr>
    </w:tbl>
    <w:p w:rsidR="007D2C5E" w:rsidRDefault="007D2C5E" w:rsidP="007D2C5E">
      <w:pPr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 </w:t>
      </w:r>
      <w:r>
        <w:rPr>
          <w:rFonts w:eastAsia="Calibri"/>
          <w:sz w:val="24"/>
          <w:szCs w:val="24"/>
          <w:lang w:eastAsia="en-US"/>
        </w:rPr>
        <w:t>».</w:t>
      </w:r>
    </w:p>
    <w:p w:rsidR="007D2C5E" w:rsidRDefault="007D2C5E" w:rsidP="007D2C5E">
      <w:pPr>
        <w:ind w:left="-142" w:right="-144" w:firstLine="720"/>
        <w:contextualSpacing/>
        <w:rPr>
          <w:sz w:val="24"/>
          <w:szCs w:val="24"/>
        </w:rPr>
      </w:pPr>
    </w:p>
    <w:p w:rsidR="007D2C5E" w:rsidRDefault="007D2C5E" w:rsidP="007D2C5E">
      <w:pPr>
        <w:ind w:left="-142" w:right="-144" w:firstLine="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D2C5E" w:rsidRDefault="007D2C5E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7D2C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D2C5E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C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</w:t>
      </w:r>
      <w:r w:rsidR="007D2C5E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D2C5E">
        <w:rPr>
          <w:sz w:val="24"/>
          <w:szCs w:val="24"/>
        </w:rPr>
        <w:t xml:space="preserve"> 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D2C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C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sectPr w:rsidR="00BD37E4" w:rsidSect="007D2C5E">
      <w:headerReference w:type="default" r:id="rId9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5E" w:rsidRDefault="007D2C5E" w:rsidP="007D2C5E">
      <w:r>
        <w:separator/>
      </w:r>
    </w:p>
  </w:endnote>
  <w:endnote w:type="continuationSeparator" w:id="0">
    <w:p w:rsidR="007D2C5E" w:rsidRDefault="007D2C5E" w:rsidP="007D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5E" w:rsidRDefault="007D2C5E" w:rsidP="007D2C5E">
      <w:r>
        <w:separator/>
      </w:r>
    </w:p>
  </w:footnote>
  <w:footnote w:type="continuationSeparator" w:id="0">
    <w:p w:rsidR="007D2C5E" w:rsidRDefault="007D2C5E" w:rsidP="007D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453702"/>
      <w:docPartObj>
        <w:docPartGallery w:val="Page Numbers (Top of Page)"/>
        <w:docPartUnique/>
      </w:docPartObj>
    </w:sdtPr>
    <w:sdtEndPr/>
    <w:sdtContent>
      <w:p w:rsidR="007D2C5E" w:rsidRDefault="007D2C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0A">
          <w:rPr>
            <w:noProof/>
          </w:rPr>
          <w:t>8</w:t>
        </w:r>
        <w:r>
          <w:fldChar w:fldCharType="end"/>
        </w:r>
      </w:p>
    </w:sdtContent>
  </w:sdt>
  <w:p w:rsidR="007D2C5E" w:rsidRDefault="007D2C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F2728"/>
    <w:rsid w:val="003B6B87"/>
    <w:rsid w:val="003C3D4D"/>
    <w:rsid w:val="00575E9F"/>
    <w:rsid w:val="005A40CD"/>
    <w:rsid w:val="005C704F"/>
    <w:rsid w:val="00624B18"/>
    <w:rsid w:val="006971FD"/>
    <w:rsid w:val="007057F1"/>
    <w:rsid w:val="00706A0B"/>
    <w:rsid w:val="007244AB"/>
    <w:rsid w:val="007753ED"/>
    <w:rsid w:val="007D2C5E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D3280A"/>
    <w:rsid w:val="00DD3BD1"/>
    <w:rsid w:val="00E35AB1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D2C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2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D2C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2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C9EDD742CD484B24DF73C9B98800F6DD187D28DEB6AE78492999F12BFE21A563A24A4EC9925E0156BC0110DDZFR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32</cp:revision>
  <cp:lastPrinted>2020-02-05T07:42:00Z</cp:lastPrinted>
  <dcterms:created xsi:type="dcterms:W3CDTF">2014-10-27T07:45:00Z</dcterms:created>
  <dcterms:modified xsi:type="dcterms:W3CDTF">2020-02-05T07:51:00Z</dcterms:modified>
</cp:coreProperties>
</file>