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D00A55" w:rsidP="00D00A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  <w:r w:rsidR="00903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9031A9" w:rsidP="00AE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006A4E" w:rsidRDefault="00006A4E" w:rsidP="009031A9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6A4E">
        <w:rPr>
          <w:rFonts w:ascii="Times New Roman" w:hAnsi="Times New Roman" w:cs="Times New Roman"/>
          <w:sz w:val="24"/>
          <w:szCs w:val="24"/>
        </w:rPr>
        <w:t>сновные технические показатели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560"/>
        <w:gridCol w:w="1559"/>
        <w:gridCol w:w="1417"/>
        <w:gridCol w:w="1417"/>
        <w:gridCol w:w="1702"/>
        <w:gridCol w:w="1701"/>
      </w:tblGrid>
      <w:tr w:rsidR="009031A9" w:rsidRPr="00A37FA0" w:rsidTr="00AE35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</w:tr>
      <w:tr w:rsidR="00AB2325" w:rsidRPr="00A37FA0" w:rsidTr="00AE351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5" w:rsidRPr="00A37FA0" w:rsidRDefault="00AB2325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5" w:rsidRPr="00A37FA0" w:rsidRDefault="00AB2325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5" w:rsidRPr="00A37FA0" w:rsidRDefault="00AB2325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Default="00AB2325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AB2325" w:rsidRPr="00A37FA0" w:rsidRDefault="00AB2325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5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AB2325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5" w:rsidRPr="00A37FA0" w:rsidRDefault="00AB2325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2325" w:rsidRPr="00A37FA0" w:rsidRDefault="00AB2325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Default="00AB2325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AB2325" w:rsidRPr="00A37FA0" w:rsidRDefault="00AB2325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5" w:rsidRPr="00A37FA0" w:rsidRDefault="00AB2325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5" w:rsidRPr="00A37FA0" w:rsidRDefault="00AB2325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2325" w:rsidRPr="00A37FA0" w:rsidRDefault="00AB2325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Количество эвакуаторов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пробег транспортных средств, осуществляющих перемещение задержанных транспортных средств (эвакуаторов)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Средний пробег эвакуатора на одно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Общая площадь специализированной стоянки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парковочных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Среднее время хранения одного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D00A55" w:rsidTr="00AE3516">
        <w:trPr>
          <w:jc w:val="right"/>
        </w:trPr>
        <w:tc>
          <w:tcPr>
            <w:tcW w:w="5096" w:type="dxa"/>
            <w:hideMark/>
          </w:tcPr>
          <w:p w:rsidR="00D00A55" w:rsidRDefault="00D00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237" w:rsidRDefault="00005237"/>
          <w:p w:rsidR="00A13FAA" w:rsidRDefault="00A13FAA"/>
        </w:tc>
      </w:tr>
      <w:tr w:rsidR="00D00A55" w:rsidTr="00AE3516">
        <w:trPr>
          <w:jc w:val="right"/>
        </w:trPr>
        <w:tc>
          <w:tcPr>
            <w:tcW w:w="5096" w:type="dxa"/>
            <w:hideMark/>
          </w:tcPr>
          <w:p w:rsidR="00D00A55" w:rsidRDefault="00D00A55" w:rsidP="00D00A55">
            <w:pPr>
              <w:jc w:val="right"/>
            </w:pPr>
            <w:r w:rsidRPr="00407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A37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перемещенных</w:t>
      </w:r>
      <w:r w:rsidRPr="00A37FA0"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60"/>
        <w:gridCol w:w="1559"/>
        <w:gridCol w:w="1701"/>
        <w:gridCol w:w="1418"/>
        <w:gridCol w:w="1843"/>
        <w:gridCol w:w="1560"/>
        <w:gridCol w:w="1701"/>
      </w:tblGrid>
      <w:tr w:rsidR="009031A9" w:rsidRPr="00A37FA0" w:rsidTr="00AE351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</w:tr>
      <w:tr w:rsidR="00B93548" w:rsidRPr="00A37FA0" w:rsidTr="00AE3516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9031A9" w:rsidRPr="00A37FA0" w:rsidTr="00AE3516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31A9" w:rsidRPr="00A37FA0" w:rsidTr="00AE35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B и D массой до 3,5 тонны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D массой более 3,5 тонны, C и 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1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D00A55" w:rsidTr="00AE3516">
        <w:trPr>
          <w:jc w:val="right"/>
        </w:trPr>
        <w:tc>
          <w:tcPr>
            <w:tcW w:w="5096" w:type="dxa"/>
            <w:hideMark/>
          </w:tcPr>
          <w:p w:rsidR="00D00A55" w:rsidRDefault="00D00A55" w:rsidP="00D00A55">
            <w:pPr>
              <w:jc w:val="right"/>
            </w:pPr>
            <w:r w:rsidRPr="00FE5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D00A55" w:rsidRPr="00D0483D" w:rsidTr="00AE3516">
        <w:trPr>
          <w:jc w:val="right"/>
        </w:trPr>
        <w:tc>
          <w:tcPr>
            <w:tcW w:w="5096" w:type="dxa"/>
            <w:hideMark/>
          </w:tcPr>
          <w:p w:rsidR="00D00A55" w:rsidRDefault="00D00A55"/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37FA0">
        <w:rPr>
          <w:rFonts w:ascii="Times New Roman" w:hAnsi="Times New Roman" w:cs="Times New Roman"/>
          <w:sz w:val="24"/>
          <w:szCs w:val="24"/>
        </w:rPr>
        <w:t>инансово-экономические показатели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361"/>
        <w:gridCol w:w="1333"/>
        <w:gridCol w:w="1560"/>
        <w:gridCol w:w="1417"/>
        <w:gridCol w:w="1275"/>
        <w:gridCol w:w="1700"/>
        <w:gridCol w:w="1277"/>
      </w:tblGrid>
      <w:tr w:rsidR="009031A9" w:rsidRPr="00A37FA0" w:rsidTr="00AE35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</w:tr>
      <w:tr w:rsidR="00B93548" w:rsidRPr="00A37FA0" w:rsidTr="00AE351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Выручка, 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B и D массой до 3,5 тонн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D массой более 3,5 тонн, C и 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D00A55" w:rsidTr="00AE3516">
        <w:trPr>
          <w:jc w:val="right"/>
        </w:trPr>
        <w:tc>
          <w:tcPr>
            <w:tcW w:w="5096" w:type="dxa"/>
            <w:hideMark/>
          </w:tcPr>
          <w:p w:rsidR="00D00A55" w:rsidRDefault="00D00A55"/>
        </w:tc>
      </w:tr>
      <w:tr w:rsidR="00D00A55" w:rsidRPr="00D0483D" w:rsidTr="00AE3516">
        <w:trPr>
          <w:jc w:val="right"/>
        </w:trPr>
        <w:tc>
          <w:tcPr>
            <w:tcW w:w="5096" w:type="dxa"/>
            <w:hideMark/>
          </w:tcPr>
          <w:p w:rsidR="00D00A55" w:rsidRDefault="00D00A55" w:rsidP="00D00A5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8B2" w:rsidRDefault="006E08B2" w:rsidP="00D00A5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6878" w:rsidRDefault="00346878" w:rsidP="00D00A5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00A55" w:rsidRDefault="00D00A55" w:rsidP="00D00A55">
            <w:pPr>
              <w:jc w:val="right"/>
            </w:pPr>
            <w:r w:rsidRPr="003B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асчет </w:t>
      </w:r>
      <w:r>
        <w:rPr>
          <w:rFonts w:ascii="Times New Roman" w:hAnsi="Times New Roman" w:cs="Times New Roman"/>
          <w:sz w:val="24"/>
          <w:szCs w:val="24"/>
        </w:rPr>
        <w:t>тарифа на</w:t>
      </w:r>
      <w:r w:rsidRPr="00A37FA0">
        <w:rPr>
          <w:rFonts w:ascii="Times New Roman" w:hAnsi="Times New Roman" w:cs="Times New Roman"/>
          <w:sz w:val="24"/>
          <w:szCs w:val="24"/>
        </w:rPr>
        <w:t xml:space="preserve"> перемещение задержанн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транспортн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37FA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FA0">
        <w:rPr>
          <w:rFonts w:ascii="Times New Roman" w:hAnsi="Times New Roman" w:cs="Times New Roman"/>
          <w:sz w:val="24"/>
          <w:szCs w:val="24"/>
        </w:rPr>
        <w:t xml:space="preserve"> массой до 3,5 тонн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587"/>
        <w:gridCol w:w="2099"/>
        <w:gridCol w:w="2410"/>
        <w:gridCol w:w="2552"/>
      </w:tblGrid>
      <w:tr w:rsidR="00B93548" w:rsidRPr="00A37FA0" w:rsidTr="00AE3516">
        <w:trPr>
          <w:trHeight w:val="9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9031A9" w:rsidRPr="00A37FA0" w:rsidTr="00AE3516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лизинговые платежи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2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(хранение)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автомобилей-эвакуаторов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E63E1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E63E1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Обязательное (добровольное) страхование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транспортных средств и страхование ответственности за вред, причиненный задержанному транспортному средству при его перемещении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Спецодежда, инструмент, инвентарь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диспетчерского персонала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заемными средствами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вносить оплату за перемещение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задержанных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BB3E0C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B3E0C">
              <w:rPr>
                <w:rFonts w:ascii="Times New Roman" w:hAnsi="Times New Roman" w:cs="Times New Roman"/>
                <w:sz w:val="24"/>
                <w:szCs w:val="24"/>
              </w:rPr>
              <w:t>Безнадежные долги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97"/>
            <w:bookmarkStart w:id="3" w:name="Par202"/>
            <w:bookmarkEnd w:id="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0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12"/>
            <w:bookmarkStart w:id="6" w:name="Par222"/>
            <w:bookmarkEnd w:id="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27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перемещенных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задержанных транспортных средств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9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32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задержанных транспортных средств (без НДС)</w:t>
            </w:r>
          </w:p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795A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227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>п. 17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spacing w:after="0" w:line="240" w:lineRule="auto"/>
              <w:jc w:val="center"/>
            </w:pPr>
            <w:r w:rsidRPr="00126758">
              <w:rPr>
                <w:rFonts w:ascii="Times New Roman" w:hAnsi="Times New Roman" w:cs="Times New Roman"/>
                <w:sz w:val="24"/>
                <w:szCs w:val="24"/>
              </w:rPr>
              <w:t>руб./1 транспортное средство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7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задержанных транспортных средств (с НДС)</w:t>
            </w:r>
          </w:p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222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Pr="0086795A">
              <w:rPr>
                <w:rFonts w:ascii="Times New Roman" w:hAnsi="Times New Roman" w:cs="Times New Roman"/>
                <w:sz w:val="24"/>
                <w:szCs w:val="24"/>
              </w:rPr>
              <w:t xml:space="preserve"> /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79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58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spacing w:after="0" w:line="240" w:lineRule="auto"/>
              <w:jc w:val="center"/>
            </w:pPr>
            <w:r w:rsidRPr="00126758">
              <w:rPr>
                <w:rFonts w:ascii="Times New Roman" w:hAnsi="Times New Roman" w:cs="Times New Roman"/>
                <w:sz w:val="24"/>
                <w:szCs w:val="24"/>
              </w:rPr>
              <w:t>руб./1 транспортное средство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42"/>
      <w:bookmarkEnd w:id="9"/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58"/>
      <w:bookmarkEnd w:id="10"/>
      <w:r w:rsidRPr="00A37FA0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я:</w:t>
      </w:r>
      <w:r w:rsidRPr="00A37FA0">
        <w:rPr>
          <w:rFonts w:ascii="Times New Roman" w:hAnsi="Times New Roman" w:cs="Times New Roman"/>
          <w:sz w:val="24"/>
          <w:szCs w:val="24"/>
        </w:rPr>
        <w:t xml:space="preserve"> &lt;*&gt; В случае если организация применяет упрощенную систему налогообложения, затраты при формировании тарифа учитываются с учетом НДС, на тариф НДС не начисляется.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5,7,9 пр</w:t>
      </w:r>
      <w:r w:rsidR="00D00A55">
        <w:rPr>
          <w:rFonts w:ascii="Times New Roman" w:hAnsi="Times New Roman" w:cs="Times New Roman"/>
          <w:sz w:val="24"/>
          <w:szCs w:val="24"/>
        </w:rPr>
        <w:t>едставляется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9031A9" w:rsidRDefault="009031A9" w:rsidP="00404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8,12,14 пр</w:t>
      </w:r>
      <w:r w:rsidR="00D00A55">
        <w:rPr>
          <w:rFonts w:ascii="Times New Roman" w:hAnsi="Times New Roman" w:cs="Times New Roman"/>
          <w:sz w:val="24"/>
          <w:szCs w:val="24"/>
        </w:rPr>
        <w:t>едставляется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D00A55" w:rsidTr="00AE3516">
        <w:trPr>
          <w:jc w:val="right"/>
        </w:trPr>
        <w:tc>
          <w:tcPr>
            <w:tcW w:w="5096" w:type="dxa"/>
            <w:hideMark/>
          </w:tcPr>
          <w:p w:rsidR="00D00A55" w:rsidRDefault="00D00A55"/>
        </w:tc>
      </w:tr>
      <w:tr w:rsidR="00D00A55" w:rsidRPr="00D0483D" w:rsidTr="00AE3516">
        <w:trPr>
          <w:jc w:val="right"/>
        </w:trPr>
        <w:tc>
          <w:tcPr>
            <w:tcW w:w="5096" w:type="dxa"/>
            <w:hideMark/>
          </w:tcPr>
          <w:p w:rsidR="00D00A55" w:rsidRDefault="00D00A55" w:rsidP="00D00A5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A55" w:rsidRDefault="00D00A55" w:rsidP="00D00A5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A55" w:rsidRDefault="00D00A55" w:rsidP="00D00A5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A55" w:rsidRDefault="00D00A55" w:rsidP="00D00A5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A55" w:rsidRDefault="00D00A55" w:rsidP="00D00A55">
            <w:pPr>
              <w:jc w:val="right"/>
            </w:pPr>
            <w:r w:rsidRPr="00C83E7B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4.2</w:t>
            </w: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асчет </w:t>
      </w:r>
      <w:r>
        <w:rPr>
          <w:rFonts w:ascii="Times New Roman" w:hAnsi="Times New Roman" w:cs="Times New Roman"/>
          <w:sz w:val="24"/>
          <w:szCs w:val="24"/>
        </w:rPr>
        <w:t>тарифа на</w:t>
      </w:r>
      <w:r w:rsidRPr="00A37FA0">
        <w:rPr>
          <w:rFonts w:ascii="Times New Roman" w:hAnsi="Times New Roman" w:cs="Times New Roman"/>
          <w:sz w:val="24"/>
          <w:szCs w:val="24"/>
        </w:rPr>
        <w:t xml:space="preserve"> перемещение задержанн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транспортн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37FA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FA0">
        <w:rPr>
          <w:rFonts w:ascii="Times New Roman" w:hAnsi="Times New Roman" w:cs="Times New Roman"/>
          <w:sz w:val="24"/>
          <w:szCs w:val="24"/>
        </w:rPr>
        <w:t xml:space="preserve"> массой более 3,5 тонн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587"/>
        <w:gridCol w:w="2269"/>
        <w:gridCol w:w="2552"/>
        <w:gridCol w:w="2693"/>
      </w:tblGrid>
      <w:tr w:rsidR="00B93548" w:rsidRPr="00A37FA0" w:rsidTr="00AE3516">
        <w:trPr>
          <w:trHeight w:val="10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лизинговые платежи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2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(хранение)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автомобилей-эвакуаторов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Обязательное (добровольное) страхование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транспортных средств и страхование ответственности за вред, причиненный задержанному транспортному средству при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Спецодежда, инструмент, инвентарь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диспетчерского персонала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заемными средствами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3B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вносить оплату за перемещение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задержанных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BB3E0C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B3E0C">
              <w:rPr>
                <w:rFonts w:ascii="Times New Roman" w:hAnsi="Times New Roman" w:cs="Times New Roman"/>
                <w:sz w:val="24"/>
                <w:szCs w:val="24"/>
              </w:rPr>
              <w:t>Безнадежные долги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перемещенных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задержанных транспортных средств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9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задержанных транспортных средств (без НДС)</w:t>
            </w:r>
          </w:p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795A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227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>п. 17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spacing w:after="0" w:line="240" w:lineRule="auto"/>
              <w:jc w:val="center"/>
            </w:pPr>
            <w:r w:rsidRPr="00126758">
              <w:rPr>
                <w:rFonts w:ascii="Times New Roman" w:hAnsi="Times New Roman" w:cs="Times New Roman"/>
                <w:sz w:val="24"/>
                <w:szCs w:val="24"/>
              </w:rPr>
              <w:t>руб./1 транспортное средство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7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задержанных транспортных средств (с НДС)</w:t>
            </w:r>
          </w:p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222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Pr="0086795A">
              <w:rPr>
                <w:rFonts w:ascii="Times New Roman" w:hAnsi="Times New Roman" w:cs="Times New Roman"/>
                <w:sz w:val="24"/>
                <w:szCs w:val="24"/>
              </w:rPr>
              <w:t xml:space="preserve"> /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79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58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spacing w:after="0" w:line="240" w:lineRule="auto"/>
              <w:jc w:val="center"/>
            </w:pPr>
            <w:r w:rsidRPr="00126758">
              <w:rPr>
                <w:rFonts w:ascii="Times New Roman" w:hAnsi="Times New Roman" w:cs="Times New Roman"/>
                <w:sz w:val="24"/>
                <w:szCs w:val="24"/>
              </w:rPr>
              <w:t>руб./1 транспортное средство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lastRenderedPageBreak/>
        <w:t>Примечани</w:t>
      </w:r>
      <w:r>
        <w:rPr>
          <w:rFonts w:ascii="Times New Roman" w:hAnsi="Times New Roman" w:cs="Times New Roman"/>
          <w:sz w:val="24"/>
          <w:szCs w:val="24"/>
        </w:rPr>
        <w:t>я:</w:t>
      </w:r>
      <w:r w:rsidRPr="00A37FA0">
        <w:rPr>
          <w:rFonts w:ascii="Times New Roman" w:hAnsi="Times New Roman" w:cs="Times New Roman"/>
          <w:sz w:val="24"/>
          <w:szCs w:val="24"/>
        </w:rPr>
        <w:t xml:space="preserve"> &lt;*&gt; В случае если организация применяет упрощенную систему налогообложения, затраты при формировании тарифа учитываются с учетом НДС, на тариф НДС не начисляется.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5,7,9 пр</w:t>
      </w:r>
      <w:r w:rsidR="00D00A55">
        <w:rPr>
          <w:rFonts w:ascii="Times New Roman" w:hAnsi="Times New Roman" w:cs="Times New Roman"/>
          <w:sz w:val="24"/>
          <w:szCs w:val="24"/>
        </w:rPr>
        <w:t>едставляется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9031A9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8,12,14 пр</w:t>
      </w:r>
      <w:r w:rsidR="00D00A55">
        <w:rPr>
          <w:rFonts w:ascii="Times New Roman" w:hAnsi="Times New Roman" w:cs="Times New Roman"/>
          <w:sz w:val="24"/>
          <w:szCs w:val="24"/>
        </w:rPr>
        <w:t>едставляется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404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1A9" w:rsidRDefault="009031A9" w:rsidP="00AE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D00A55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A55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5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асчет </w:t>
      </w:r>
      <w:r>
        <w:rPr>
          <w:rFonts w:ascii="Times New Roman" w:hAnsi="Times New Roman" w:cs="Times New Roman"/>
          <w:sz w:val="24"/>
          <w:szCs w:val="24"/>
        </w:rPr>
        <w:t>тарифа на</w:t>
      </w:r>
      <w:r w:rsidRPr="00A37FA0">
        <w:rPr>
          <w:rFonts w:ascii="Times New Roman" w:hAnsi="Times New Roman" w:cs="Times New Roman"/>
          <w:sz w:val="24"/>
          <w:szCs w:val="24"/>
        </w:rPr>
        <w:t xml:space="preserve"> хранение задержанн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37FA0">
        <w:rPr>
          <w:rFonts w:ascii="Times New Roman" w:hAnsi="Times New Roman" w:cs="Times New Roman"/>
          <w:sz w:val="24"/>
          <w:szCs w:val="24"/>
        </w:rPr>
        <w:t>транспортн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37FA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4"/>
        <w:gridCol w:w="1361"/>
        <w:gridCol w:w="2467"/>
        <w:gridCol w:w="2551"/>
        <w:gridCol w:w="2268"/>
      </w:tblGrid>
      <w:tr w:rsidR="00B93548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ind w:left="647" w:hanging="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75"/>
            <w:bookmarkEnd w:id="11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основных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лизинговые платежи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Спецодежда, инструмент, инвентарь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территорией для хранения задержанных транспортных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05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технического контроля территории (освещение и видеонаблюдение)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10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заемными средствами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3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вносить оплату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хранение задержанных транспортных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1207EE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1207EE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7EE">
              <w:rPr>
                <w:rFonts w:ascii="Times New Roman" w:hAnsi="Times New Roman" w:cs="Times New Roman"/>
                <w:sz w:val="24"/>
                <w:szCs w:val="24"/>
              </w:rPr>
              <w:t>Безнадежные долги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1207EE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1207EE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ответственности за вред, причиненный задержанному транспортному средству при хранении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1207EE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315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320"/>
            <w:bookmarkStart w:id="16" w:name="Par330"/>
            <w:bookmarkEnd w:id="15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35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оплаченных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полных часов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задержанных транспортных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задержанных транспортных средств (без НДС) (</w:t>
            </w:r>
            <w:hyperlink w:anchor="Par330" w:history="1">
              <w:r w:rsidRPr="001207EE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Pr="001207EE">
              <w:rPr>
                <w:rFonts w:ascii="Times New Roman" w:hAnsi="Times New Roman" w:cs="Times New Roman"/>
                <w:sz w:val="24"/>
                <w:szCs w:val="24"/>
              </w:rPr>
              <w:t xml:space="preserve"> / п. 16)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руб./1 час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задержанных транспортных средств (с НДС) </w:t>
            </w:r>
          </w:p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30" w:history="1">
              <w:r w:rsidRPr="001207EE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Pr="001207EE">
              <w:rPr>
                <w:rFonts w:ascii="Times New Roman" w:hAnsi="Times New Roman" w:cs="Times New Roman"/>
                <w:sz w:val="24"/>
                <w:szCs w:val="24"/>
              </w:rPr>
              <w:t xml:space="preserve"> / п. 16)</w:t>
            </w:r>
            <w:hyperlink w:anchor="Par371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руб./1 час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A (k = 0,5)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руб./1 час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B и D массой до 3,5 тонны (k = 1)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руб./1 час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D массой более 3,5 тонны, C и E</w:t>
            </w:r>
          </w:p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(k = 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руб./1 час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71"/>
      <w:bookmarkEnd w:id="18"/>
      <w:r w:rsidRPr="00A37FA0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я:</w:t>
      </w:r>
      <w:r w:rsidRPr="00A37FA0">
        <w:rPr>
          <w:rFonts w:ascii="Times New Roman" w:hAnsi="Times New Roman" w:cs="Times New Roman"/>
          <w:sz w:val="24"/>
          <w:szCs w:val="24"/>
        </w:rPr>
        <w:t xml:space="preserve"> &lt;*&gt; В случае если организация применяет упрощенную систему налогообложения, затраты при формировании тарифа учитываются с учетом НДС, на тариф НДС не начисляется.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4 и 6 пр</w:t>
      </w:r>
      <w:r w:rsidR="00D00A55">
        <w:rPr>
          <w:rFonts w:ascii="Times New Roman" w:hAnsi="Times New Roman" w:cs="Times New Roman"/>
          <w:sz w:val="24"/>
          <w:szCs w:val="24"/>
        </w:rPr>
        <w:t>едставляется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5,7,10,13 пр</w:t>
      </w:r>
      <w:r w:rsidR="00D00A55">
        <w:rPr>
          <w:rFonts w:ascii="Times New Roman" w:hAnsi="Times New Roman" w:cs="Times New Roman"/>
          <w:sz w:val="24"/>
          <w:szCs w:val="24"/>
        </w:rPr>
        <w:t>едставляется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AE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6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асчет затрат на </w:t>
      </w:r>
      <w:r>
        <w:rPr>
          <w:rFonts w:ascii="Times New Roman" w:hAnsi="Times New Roman" w:cs="Times New Roman"/>
          <w:sz w:val="24"/>
          <w:szCs w:val="24"/>
        </w:rPr>
        <w:t>топливо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2"/>
        <w:gridCol w:w="1361"/>
        <w:gridCol w:w="2695"/>
        <w:gridCol w:w="2551"/>
        <w:gridCol w:w="2410"/>
      </w:tblGrid>
      <w:tr w:rsidR="00B93548" w:rsidRPr="00A37FA0" w:rsidTr="00AE3516">
        <w:trPr>
          <w:trHeight w:val="7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0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B93548" w:rsidRPr="00A37FA0" w:rsidRDefault="00B93548" w:rsidP="000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87"/>
            <w:bookmarkEnd w:id="19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Расход топлива по сериям эвакуаторов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392"/>
            <w:bookmarkEnd w:id="20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Цена 1 л топлива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397"/>
            <w:bookmarkEnd w:id="21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Стоимость топлива (</w:t>
            </w:r>
            <w:hyperlink w:anchor="Par387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392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402"/>
            <w:bookmarkEnd w:id="22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Расход смазочных материалов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407"/>
            <w:bookmarkEnd w:id="23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Цена 1 л смазочных материалов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412"/>
            <w:bookmarkEnd w:id="24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Стоимость смазочных материалов (</w:t>
            </w:r>
            <w:hyperlink w:anchor="Par402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407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 затрат на горюче-смазочные материалы (</w:t>
            </w:r>
            <w:hyperlink w:anchor="Par397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12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 xml:space="preserve">К этой статье относится стоимость бензина и других горюче-смазочных материалов в соответствии с </w:t>
      </w:r>
      <w:hyperlink r:id="rId6" w:history="1">
        <w:r w:rsidRPr="00A37FA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37FA0">
        <w:rPr>
          <w:rFonts w:ascii="Times New Roman" w:hAnsi="Times New Roman" w:cs="Times New Roman"/>
          <w:sz w:val="24"/>
          <w:szCs w:val="24"/>
        </w:rPr>
        <w:t xml:space="preserve"> Министерства транспорта РФ от 29.04.2003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7FA0">
        <w:rPr>
          <w:rFonts w:ascii="Times New Roman" w:hAnsi="Times New Roman" w:cs="Times New Roman"/>
          <w:sz w:val="24"/>
          <w:szCs w:val="24"/>
        </w:rPr>
        <w:t xml:space="preserve"> Р3112194-0366-03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7FA0">
        <w:rPr>
          <w:rFonts w:ascii="Times New Roman" w:hAnsi="Times New Roman" w:cs="Times New Roman"/>
          <w:sz w:val="24"/>
          <w:szCs w:val="24"/>
        </w:rPr>
        <w:t>Нормы расхода топлива и смазочных материалов 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7FA0">
        <w:rPr>
          <w:rFonts w:ascii="Times New Roman" w:hAnsi="Times New Roman" w:cs="Times New Roman"/>
          <w:sz w:val="24"/>
          <w:szCs w:val="24"/>
        </w:rPr>
        <w:t>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AE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7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>асчет амортизационных отчислений основных фондов</w:t>
      </w: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планируемый период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75"/>
        <w:gridCol w:w="1531"/>
        <w:gridCol w:w="1701"/>
        <w:gridCol w:w="1304"/>
        <w:gridCol w:w="1984"/>
        <w:gridCol w:w="2411"/>
      </w:tblGrid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фондов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Норма амортизационных отчислений, 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Сумма амортизационных отчислений, тыс. руб.</w:t>
            </w: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Амортизационные отчисления на полное восстановление (износ) основных фондов определяются на основании балансовой стоимости основных фондов и норм амортизационных отчислений, утвержденных в установленном порядке.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AE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8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Default="00006A4E" w:rsidP="009031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асчет затрат на оплату труда </w:t>
      </w:r>
      <w:r>
        <w:rPr>
          <w:rFonts w:ascii="Times New Roman" w:hAnsi="Times New Roman" w:cs="Times New Roman"/>
          <w:sz w:val="24"/>
          <w:szCs w:val="24"/>
        </w:rPr>
        <w:t>персонала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418"/>
        <w:gridCol w:w="1276"/>
        <w:gridCol w:w="1276"/>
        <w:gridCol w:w="1417"/>
        <w:gridCol w:w="1276"/>
        <w:gridCol w:w="1134"/>
        <w:gridCol w:w="1700"/>
        <w:gridCol w:w="1418"/>
      </w:tblGrid>
      <w:tr w:rsidR="009031A9" w:rsidRPr="00A37FA0" w:rsidTr="00AE35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 на 1 работающего, руб.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Общая сумма зарплаты за месяц, руб.</w:t>
            </w:r>
          </w:p>
        </w:tc>
      </w:tr>
      <w:tr w:rsidR="00B93548" w:rsidRPr="00A37FA0" w:rsidTr="00AE351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BA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93548" w:rsidRPr="00A37FA0" w:rsidRDefault="00B93548" w:rsidP="00BA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A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A2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A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BA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93548" w:rsidRPr="00A37FA0" w:rsidRDefault="00B93548" w:rsidP="00BA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A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A2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A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BA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93548" w:rsidRPr="00A37FA0" w:rsidRDefault="00B93548" w:rsidP="00BA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A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A2F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A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D00A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9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31A9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статьи затрат)</w:t>
      </w:r>
    </w:p>
    <w:p w:rsidR="009031A9" w:rsidRPr="00A37FA0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992"/>
        <w:gridCol w:w="1135"/>
        <w:gridCol w:w="1418"/>
        <w:gridCol w:w="1133"/>
        <w:gridCol w:w="1134"/>
        <w:gridCol w:w="1417"/>
        <w:gridCol w:w="851"/>
        <w:gridCol w:w="1134"/>
        <w:gridCol w:w="1417"/>
        <w:gridCol w:w="1135"/>
      </w:tblGrid>
      <w:tr w:rsidR="009031A9" w:rsidRPr="00A37FA0" w:rsidTr="00AE35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материалов,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B93548" w:rsidRPr="00A37FA0" w:rsidTr="00AE351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34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B93548" w:rsidRPr="00A37FA0" w:rsidRDefault="00B93548" w:rsidP="0034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005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344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B93548" w:rsidRPr="00A37FA0" w:rsidRDefault="00B93548" w:rsidP="0034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34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B93548" w:rsidRPr="00A37FA0" w:rsidRDefault="00B93548" w:rsidP="0034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005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344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B93548" w:rsidRPr="00A37FA0" w:rsidRDefault="00B93548" w:rsidP="0034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34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B93548" w:rsidRPr="00A37FA0" w:rsidRDefault="00B93548" w:rsidP="0034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005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344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B93548" w:rsidRPr="00A37FA0" w:rsidRDefault="00B93548" w:rsidP="0034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31A9" w:rsidRPr="00A37FA0" w:rsidTr="00AE3516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AE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10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31A9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статьи затрат)</w:t>
      </w:r>
    </w:p>
    <w:p w:rsidR="009031A9" w:rsidRPr="00A37FA0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551"/>
        <w:gridCol w:w="2410"/>
        <w:gridCol w:w="2835"/>
      </w:tblGrid>
      <w:tr w:rsidR="00B93548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0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B93548" w:rsidRPr="00A37FA0" w:rsidRDefault="00B93548" w:rsidP="000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D00A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11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асчет </w:t>
      </w:r>
      <w:r>
        <w:rPr>
          <w:rFonts w:ascii="Times New Roman" w:hAnsi="Times New Roman" w:cs="Times New Roman"/>
          <w:sz w:val="24"/>
          <w:szCs w:val="24"/>
        </w:rPr>
        <w:t>затрат на содержание аппарата управления</w:t>
      </w:r>
    </w:p>
    <w:p w:rsidR="009031A9" w:rsidRPr="00A37FA0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354"/>
        <w:gridCol w:w="2551"/>
        <w:gridCol w:w="2693"/>
      </w:tblGrid>
      <w:tr w:rsidR="00B93548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0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B93548" w:rsidRPr="00A37FA0" w:rsidRDefault="00B93548" w:rsidP="000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AE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12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аспределение </w:t>
      </w:r>
      <w:r>
        <w:rPr>
          <w:rFonts w:ascii="Times New Roman" w:hAnsi="Times New Roman" w:cs="Times New Roman"/>
          <w:sz w:val="24"/>
          <w:szCs w:val="24"/>
        </w:rPr>
        <w:t>затрат на содержание аппарата управления</w:t>
      </w: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по видам услуг</w:t>
      </w:r>
    </w:p>
    <w:p w:rsidR="009031A9" w:rsidRPr="00A37FA0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165"/>
        <w:gridCol w:w="1984"/>
        <w:gridCol w:w="2126"/>
        <w:gridCol w:w="1615"/>
      </w:tblGrid>
      <w:tr w:rsidR="00B93548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7" w:rsidRDefault="00B93548" w:rsidP="000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B93548" w:rsidRPr="00A37FA0" w:rsidRDefault="00B93548" w:rsidP="000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A37FA0" w:rsidRDefault="00B93548" w:rsidP="00B93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93548" w:rsidRPr="00A37FA0" w:rsidRDefault="00B93548" w:rsidP="00B9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аппарата управления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всего по организации,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Прямые затраты по организации,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 на содержание аппарата управления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к прямым затратам,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Прямые затраты по перемещению задержанных транспортных средств,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аппарата управления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относимые на услугу по перемещению задержанных транспортных средств,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Прямые затраты по хранению задержанных транспортных средств,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аппарата управления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относимые на услугу по хранению задержанных транспортных средств,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404D35" w:rsidRDefault="009031A9" w:rsidP="00404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Распределение общехозяйственных расходов по видам деятельности осуществляется пропорционально прямым затратам</w:t>
      </w:r>
      <w:r>
        <w:rPr>
          <w:rFonts w:ascii="Times New Roman" w:hAnsi="Times New Roman" w:cs="Times New Roman"/>
          <w:sz w:val="24"/>
          <w:szCs w:val="24"/>
        </w:rPr>
        <w:t>, фонду оплаты труда, выручке</w:t>
      </w:r>
      <w:r w:rsidRPr="00A37FA0">
        <w:rPr>
          <w:rFonts w:ascii="Times New Roman" w:hAnsi="Times New Roman" w:cs="Times New Roman"/>
          <w:sz w:val="24"/>
          <w:szCs w:val="24"/>
        </w:rPr>
        <w:t xml:space="preserve"> или иным способом, предусмотренным учетной политикой</w:t>
      </w:r>
      <w:r>
        <w:rPr>
          <w:rFonts w:ascii="Times New Roman" w:hAnsi="Times New Roman" w:cs="Times New Roman"/>
          <w:sz w:val="24"/>
          <w:szCs w:val="24"/>
        </w:rPr>
        <w:t xml:space="preserve"> (в таблице приведен пример распределения расходов</w:t>
      </w:r>
      <w:r w:rsidRPr="00F00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содержание аппарата управления пропорционально прямым затр</w:t>
      </w:r>
      <w:r w:rsidR="00404D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там)</w:t>
      </w:r>
      <w:r w:rsidRPr="00A37FA0">
        <w:rPr>
          <w:rFonts w:ascii="Times New Roman" w:hAnsi="Times New Roman" w:cs="Times New Roman"/>
          <w:sz w:val="24"/>
          <w:szCs w:val="24"/>
        </w:rPr>
        <w:t>.</w:t>
      </w:r>
    </w:p>
    <w:sectPr w:rsidR="009031A9" w:rsidRPr="00404D35" w:rsidSect="009031A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94"/>
    <w:multiLevelType w:val="hybridMultilevel"/>
    <w:tmpl w:val="9F2E5998"/>
    <w:lvl w:ilvl="0" w:tplc="A282C25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553BB"/>
    <w:multiLevelType w:val="hybridMultilevel"/>
    <w:tmpl w:val="D8B659F0"/>
    <w:lvl w:ilvl="0" w:tplc="7A30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5B32"/>
    <w:multiLevelType w:val="multilevel"/>
    <w:tmpl w:val="A2BCA8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3">
    <w:nsid w:val="1DAA44D2"/>
    <w:multiLevelType w:val="hybridMultilevel"/>
    <w:tmpl w:val="B1FCA6F6"/>
    <w:lvl w:ilvl="0" w:tplc="C486FB86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1D3983"/>
    <w:multiLevelType w:val="hybridMultilevel"/>
    <w:tmpl w:val="1E7E30EE"/>
    <w:lvl w:ilvl="0" w:tplc="7A30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07071"/>
    <w:multiLevelType w:val="hybridMultilevel"/>
    <w:tmpl w:val="BE66F6E4"/>
    <w:lvl w:ilvl="0" w:tplc="7A30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47D00"/>
    <w:multiLevelType w:val="multilevel"/>
    <w:tmpl w:val="791CB5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74"/>
    <w:rsid w:val="00005237"/>
    <w:rsid w:val="00006A4E"/>
    <w:rsid w:val="000920C8"/>
    <w:rsid w:val="0015672B"/>
    <w:rsid w:val="00346878"/>
    <w:rsid w:val="003A6C91"/>
    <w:rsid w:val="003D7185"/>
    <w:rsid w:val="00404D35"/>
    <w:rsid w:val="004D3466"/>
    <w:rsid w:val="00543605"/>
    <w:rsid w:val="00592BEC"/>
    <w:rsid w:val="006E08B2"/>
    <w:rsid w:val="009031A9"/>
    <w:rsid w:val="009851E2"/>
    <w:rsid w:val="00A13FAA"/>
    <w:rsid w:val="00AB2325"/>
    <w:rsid w:val="00B93548"/>
    <w:rsid w:val="00BA2F0B"/>
    <w:rsid w:val="00C363EC"/>
    <w:rsid w:val="00CE24D2"/>
    <w:rsid w:val="00D00A55"/>
    <w:rsid w:val="00D51FE4"/>
    <w:rsid w:val="00D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943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94374"/>
  </w:style>
  <w:style w:type="paragraph" w:styleId="a3">
    <w:name w:val="Normal (Web)"/>
    <w:basedOn w:val="a"/>
    <w:uiPriority w:val="99"/>
    <w:semiHidden/>
    <w:unhideWhenUsed/>
    <w:rsid w:val="00D9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4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4374"/>
    <w:pPr>
      <w:ind w:left="720"/>
      <w:contextualSpacing/>
    </w:pPr>
  </w:style>
  <w:style w:type="paragraph" w:customStyle="1" w:styleId="ConsPlusNormal">
    <w:name w:val="ConsPlusNormal"/>
    <w:rsid w:val="00903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903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943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94374"/>
  </w:style>
  <w:style w:type="paragraph" w:styleId="a3">
    <w:name w:val="Normal (Web)"/>
    <w:basedOn w:val="a"/>
    <w:uiPriority w:val="99"/>
    <w:semiHidden/>
    <w:unhideWhenUsed/>
    <w:rsid w:val="00D9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4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4374"/>
    <w:pPr>
      <w:ind w:left="720"/>
      <w:contextualSpacing/>
    </w:pPr>
  </w:style>
  <w:style w:type="paragraph" w:customStyle="1" w:styleId="ConsPlusNormal">
    <w:name w:val="ConsPlusNormal"/>
    <w:rsid w:val="00903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903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4DA59182952C5A89E7BDEA48940389506207967B8E5810DC74861859A28B2EB65AEC21FBFC46b52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Петровна Кравченко</dc:creator>
  <cp:lastModifiedBy>Анна Петровна Кравченко</cp:lastModifiedBy>
  <cp:revision>20</cp:revision>
  <dcterms:created xsi:type="dcterms:W3CDTF">2017-03-23T07:48:00Z</dcterms:created>
  <dcterms:modified xsi:type="dcterms:W3CDTF">2020-02-20T11:25:00Z</dcterms:modified>
</cp:coreProperties>
</file>