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7A" w:rsidRPr="00C2637A" w:rsidRDefault="00C2637A" w:rsidP="00AD2381">
      <w:pPr>
        <w:pStyle w:val="ConsPlusNormal"/>
        <w:jc w:val="right"/>
        <w:rPr>
          <w:sz w:val="20"/>
          <w:szCs w:val="20"/>
        </w:rPr>
      </w:pPr>
      <w:r w:rsidRPr="00C2637A">
        <w:rPr>
          <w:sz w:val="20"/>
          <w:szCs w:val="20"/>
        </w:rPr>
        <w:t>ОДО</w:t>
      </w:r>
      <w:r>
        <w:rPr>
          <w:sz w:val="20"/>
          <w:szCs w:val="20"/>
        </w:rPr>
        <w:t>БРЕН</w:t>
      </w:r>
      <w:r w:rsidRPr="00C2637A">
        <w:rPr>
          <w:sz w:val="20"/>
          <w:szCs w:val="20"/>
        </w:rPr>
        <w:t xml:space="preserve"> </w:t>
      </w:r>
    </w:p>
    <w:p w:rsidR="00C2637A" w:rsidRPr="00C2637A" w:rsidRDefault="00C2637A" w:rsidP="00AD2381">
      <w:pPr>
        <w:pStyle w:val="ConsPlusNormal"/>
        <w:jc w:val="right"/>
        <w:rPr>
          <w:sz w:val="20"/>
          <w:szCs w:val="20"/>
        </w:rPr>
      </w:pPr>
      <w:r w:rsidRPr="00C2637A">
        <w:rPr>
          <w:sz w:val="20"/>
          <w:szCs w:val="20"/>
        </w:rPr>
        <w:t xml:space="preserve">решением Правления комитета по тарифам </w:t>
      </w:r>
    </w:p>
    <w:p w:rsidR="00C2637A" w:rsidRPr="00C2637A" w:rsidRDefault="00C2637A" w:rsidP="00AD2381">
      <w:pPr>
        <w:pStyle w:val="ConsPlusNormal"/>
        <w:jc w:val="right"/>
        <w:rPr>
          <w:sz w:val="20"/>
          <w:szCs w:val="20"/>
        </w:rPr>
      </w:pPr>
      <w:r w:rsidRPr="00C2637A">
        <w:rPr>
          <w:sz w:val="20"/>
          <w:szCs w:val="20"/>
        </w:rPr>
        <w:t xml:space="preserve">и ценовой политике Ленинградской области </w:t>
      </w:r>
    </w:p>
    <w:p w:rsidR="00C2637A" w:rsidRPr="00C2637A" w:rsidRDefault="00C2637A" w:rsidP="00C2637A">
      <w:pPr>
        <w:pStyle w:val="ConsPlusNormal"/>
        <w:jc w:val="right"/>
        <w:rPr>
          <w:sz w:val="20"/>
          <w:szCs w:val="20"/>
        </w:rPr>
      </w:pPr>
      <w:r w:rsidRPr="00C2637A">
        <w:rPr>
          <w:sz w:val="20"/>
          <w:szCs w:val="20"/>
        </w:rPr>
        <w:t xml:space="preserve">(протокол заседания Правления от 05.09.2024 №33) </w:t>
      </w:r>
    </w:p>
    <w:p w:rsidR="00AD2381" w:rsidRDefault="00C2637A" w:rsidP="00C2637A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проект</w:t>
      </w:r>
    </w:p>
    <w:p w:rsidR="0004729B" w:rsidRPr="00D9456F" w:rsidRDefault="00531BC7" w:rsidP="0059559B">
      <w:pPr>
        <w:pStyle w:val="ConsPlusNormal"/>
        <w:jc w:val="center"/>
        <w:rPr>
          <w:b/>
          <w:sz w:val="28"/>
          <w:szCs w:val="28"/>
        </w:rPr>
      </w:pPr>
      <w:r w:rsidRPr="00507EC6">
        <w:rPr>
          <w:b/>
          <w:sz w:val="28"/>
          <w:szCs w:val="28"/>
        </w:rPr>
        <w:t xml:space="preserve">Дополнительное соглашение № 1 к </w:t>
      </w:r>
      <w:r w:rsidR="007F3F18" w:rsidRPr="00507EC6">
        <w:rPr>
          <w:b/>
          <w:sz w:val="28"/>
          <w:szCs w:val="28"/>
        </w:rPr>
        <w:t>С</w:t>
      </w:r>
      <w:r w:rsidRPr="00507EC6">
        <w:rPr>
          <w:b/>
          <w:sz w:val="28"/>
          <w:szCs w:val="28"/>
        </w:rPr>
        <w:t xml:space="preserve">оглашению </w:t>
      </w:r>
      <w:r w:rsidR="00A832BE" w:rsidRPr="00507EC6">
        <w:rPr>
          <w:b/>
          <w:sz w:val="28"/>
          <w:szCs w:val="28"/>
        </w:rPr>
        <w:t>об условиях осуществления регулируем</w:t>
      </w:r>
      <w:r w:rsidRPr="00507EC6">
        <w:rPr>
          <w:b/>
          <w:sz w:val="28"/>
          <w:szCs w:val="28"/>
        </w:rPr>
        <w:t xml:space="preserve">ой </w:t>
      </w:r>
      <w:r w:rsidR="00A832BE" w:rsidRPr="00507EC6">
        <w:rPr>
          <w:b/>
          <w:sz w:val="28"/>
          <w:szCs w:val="28"/>
        </w:rPr>
        <w:t>деятельности</w:t>
      </w:r>
      <w:r w:rsidRPr="00507EC6">
        <w:rPr>
          <w:b/>
          <w:sz w:val="28"/>
          <w:szCs w:val="28"/>
        </w:rPr>
        <w:t xml:space="preserve"> по оказанию услуг </w:t>
      </w:r>
    </w:p>
    <w:p w:rsidR="0004729B" w:rsidRPr="000765E5" w:rsidRDefault="00531BC7" w:rsidP="0059559B">
      <w:pPr>
        <w:pStyle w:val="ConsPlusNormal"/>
        <w:jc w:val="center"/>
        <w:rPr>
          <w:b/>
          <w:sz w:val="28"/>
          <w:szCs w:val="28"/>
        </w:rPr>
      </w:pPr>
      <w:r w:rsidRPr="00507EC6">
        <w:rPr>
          <w:b/>
          <w:sz w:val="28"/>
          <w:szCs w:val="28"/>
        </w:rPr>
        <w:t>по передаче электрической энергии от 11.02.2022</w:t>
      </w:r>
      <w:r w:rsidR="00F14C6A" w:rsidRPr="00507EC6">
        <w:rPr>
          <w:b/>
          <w:sz w:val="28"/>
          <w:szCs w:val="28"/>
        </w:rPr>
        <w:t xml:space="preserve"> между </w:t>
      </w:r>
    </w:p>
    <w:p w:rsidR="00870020" w:rsidRPr="00507EC6" w:rsidRDefault="00F14C6A" w:rsidP="0059559B">
      <w:pPr>
        <w:pStyle w:val="ConsPlusNormal"/>
        <w:jc w:val="center"/>
        <w:rPr>
          <w:b/>
          <w:sz w:val="28"/>
          <w:szCs w:val="28"/>
        </w:rPr>
      </w:pPr>
      <w:r w:rsidRPr="00507EC6">
        <w:rPr>
          <w:rFonts w:eastAsia="Times New Roman"/>
          <w:b/>
          <w:sz w:val="28"/>
          <w:szCs w:val="28"/>
        </w:rPr>
        <w:t>Комитетом по тарифам и ценовой политике Ленинградской области и ПАО «Россети Ленэнерго»</w:t>
      </w:r>
    </w:p>
    <w:p w:rsidR="00F14C6A" w:rsidRPr="00507EC6" w:rsidRDefault="00F14C6A" w:rsidP="00F14C6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02"/>
        <w:gridCol w:w="4496"/>
      </w:tblGrid>
      <w:tr w:rsidR="00F14C6A" w:rsidRPr="00507EC6" w:rsidTr="00F14C6A">
        <w:trPr>
          <w:trHeight w:val="313"/>
        </w:trPr>
        <w:tc>
          <w:tcPr>
            <w:tcW w:w="5002" w:type="dxa"/>
          </w:tcPr>
          <w:p w:rsidR="00F14C6A" w:rsidRPr="00507EC6" w:rsidRDefault="00F14C6A" w:rsidP="00F14C6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EC6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4496" w:type="dxa"/>
          </w:tcPr>
          <w:p w:rsidR="00F14C6A" w:rsidRPr="00507EC6" w:rsidRDefault="00F14C6A" w:rsidP="00F14C6A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EC6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___________ 2024 г.</w:t>
            </w:r>
          </w:p>
        </w:tc>
      </w:tr>
    </w:tbl>
    <w:p w:rsidR="00870020" w:rsidRPr="00507EC6" w:rsidRDefault="00531BC7" w:rsidP="00F22C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EC6">
        <w:rPr>
          <w:rFonts w:ascii="Times New Roman" w:hAnsi="Times New Roman" w:cs="Times New Roman"/>
          <w:b/>
          <w:sz w:val="28"/>
          <w:szCs w:val="28"/>
        </w:rPr>
        <w:t>Комитет по тарифам и ценовой политике Ленинградской области</w:t>
      </w:r>
      <w:r w:rsidRPr="00507EC6">
        <w:rPr>
          <w:rFonts w:ascii="Times New Roman" w:hAnsi="Times New Roman" w:cs="Times New Roman"/>
          <w:sz w:val="28"/>
          <w:szCs w:val="28"/>
        </w:rPr>
        <w:t xml:space="preserve">, </w:t>
      </w:r>
      <w:r w:rsidR="00A832BE" w:rsidRPr="00507EC6">
        <w:rPr>
          <w:rFonts w:ascii="Times New Roman" w:hAnsi="Times New Roman" w:cs="Times New Roman"/>
          <w:sz w:val="28"/>
          <w:szCs w:val="28"/>
        </w:rPr>
        <w:t>именуемый в дальнейш</w:t>
      </w:r>
      <w:r w:rsidR="008655A9" w:rsidRPr="00507EC6">
        <w:rPr>
          <w:rFonts w:ascii="Times New Roman" w:hAnsi="Times New Roman" w:cs="Times New Roman"/>
          <w:sz w:val="28"/>
          <w:szCs w:val="28"/>
        </w:rPr>
        <w:t xml:space="preserve">ем </w:t>
      </w:r>
      <w:r w:rsidRPr="00507EC6">
        <w:rPr>
          <w:rFonts w:ascii="Times New Roman" w:hAnsi="Times New Roman" w:cs="Times New Roman"/>
          <w:sz w:val="28"/>
          <w:szCs w:val="28"/>
        </w:rPr>
        <w:t>«</w:t>
      </w:r>
      <w:r w:rsidR="008655A9" w:rsidRPr="00507EC6">
        <w:rPr>
          <w:rFonts w:ascii="Times New Roman" w:hAnsi="Times New Roman" w:cs="Times New Roman"/>
          <w:b/>
          <w:i/>
          <w:sz w:val="28"/>
          <w:szCs w:val="28"/>
        </w:rPr>
        <w:t>Регулирующи</w:t>
      </w:r>
      <w:r w:rsidRPr="00507EC6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8655A9" w:rsidRPr="00507EC6">
        <w:rPr>
          <w:rFonts w:ascii="Times New Roman" w:hAnsi="Times New Roman" w:cs="Times New Roman"/>
          <w:b/>
          <w:i/>
          <w:sz w:val="28"/>
          <w:szCs w:val="28"/>
        </w:rPr>
        <w:t xml:space="preserve"> орган</w:t>
      </w:r>
      <w:r w:rsidRPr="00507EC6">
        <w:rPr>
          <w:rFonts w:ascii="Times New Roman" w:hAnsi="Times New Roman" w:cs="Times New Roman"/>
          <w:sz w:val="28"/>
          <w:szCs w:val="28"/>
        </w:rPr>
        <w:t>»</w:t>
      </w:r>
      <w:r w:rsidR="008655A9" w:rsidRPr="00507EC6">
        <w:rPr>
          <w:rFonts w:ascii="Times New Roman" w:hAnsi="Times New Roman" w:cs="Times New Roman"/>
          <w:sz w:val="28"/>
          <w:szCs w:val="28"/>
        </w:rPr>
        <w:t>, в лице</w:t>
      </w:r>
      <w:r w:rsidR="00391BE9" w:rsidRPr="00507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5A9" w:rsidRPr="00507EC6" w:rsidRDefault="00A832BE" w:rsidP="00595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7EC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</w:t>
      </w:r>
      <w:r w:rsidRPr="00507EC6">
        <w:rPr>
          <w:rFonts w:ascii="Times New Roman" w:hAnsi="Times New Roman" w:cs="Times New Roman"/>
          <w:sz w:val="28"/>
          <w:szCs w:val="28"/>
        </w:rPr>
        <w:t>,</w:t>
      </w:r>
    </w:p>
    <w:p w:rsidR="000E608A" w:rsidRDefault="00A832BE" w:rsidP="000E60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7EC6">
        <w:rPr>
          <w:rFonts w:ascii="Times New Roman" w:hAnsi="Times New Roman" w:cs="Times New Roman"/>
          <w:sz w:val="28"/>
          <w:szCs w:val="28"/>
        </w:rPr>
        <w:t>действующе</w:t>
      </w:r>
      <w:r w:rsidR="007F3F18" w:rsidRPr="00507EC6">
        <w:rPr>
          <w:rFonts w:ascii="Times New Roman" w:hAnsi="Times New Roman" w:cs="Times New Roman"/>
          <w:sz w:val="28"/>
          <w:szCs w:val="28"/>
        </w:rPr>
        <w:t>го</w:t>
      </w:r>
      <w:r w:rsidRPr="00507EC6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</w:t>
      </w:r>
      <w:r w:rsidR="000E608A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7F3F18" w:rsidRPr="000E608A" w:rsidRDefault="00A832BE" w:rsidP="000E60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7EC6"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r w:rsidR="007F3F18" w:rsidRPr="00507EC6">
        <w:rPr>
          <w:rFonts w:ascii="Times New Roman" w:hAnsi="Times New Roman" w:cs="Times New Roman"/>
          <w:sz w:val="28"/>
          <w:szCs w:val="28"/>
        </w:rPr>
        <w:t>и</w:t>
      </w:r>
    </w:p>
    <w:p w:rsidR="00870020" w:rsidRPr="00507EC6" w:rsidRDefault="007F3F18" w:rsidP="007F3F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EC6">
        <w:rPr>
          <w:rFonts w:ascii="Times New Roman" w:eastAsia="Times New Roman" w:hAnsi="Times New Roman" w:cs="Times New Roman"/>
          <w:b/>
          <w:sz w:val="28"/>
          <w:szCs w:val="28"/>
        </w:rPr>
        <w:t>Публичное акционерное общество «Россети Ленэнерго»</w:t>
      </w:r>
      <w:r w:rsidRPr="00507EC6">
        <w:rPr>
          <w:rFonts w:ascii="Times New Roman" w:eastAsia="Times New Roman" w:hAnsi="Times New Roman" w:cs="Times New Roman"/>
          <w:sz w:val="28"/>
          <w:szCs w:val="28"/>
        </w:rPr>
        <w:t xml:space="preserve">, именуемое в дальнейшем </w:t>
      </w:r>
      <w:r w:rsidRPr="00507EC6">
        <w:rPr>
          <w:rFonts w:ascii="Times New Roman" w:eastAsia="Times New Roman" w:hAnsi="Times New Roman" w:cs="Times New Roman"/>
          <w:b/>
          <w:i/>
          <w:sz w:val="28"/>
          <w:szCs w:val="28"/>
        </w:rPr>
        <w:t>«Регулируемая организация»</w:t>
      </w:r>
      <w:r w:rsidRPr="00507EC6">
        <w:rPr>
          <w:rFonts w:ascii="Times New Roman" w:eastAsia="Times New Roman" w:hAnsi="Times New Roman" w:cs="Times New Roman"/>
          <w:sz w:val="28"/>
          <w:szCs w:val="28"/>
        </w:rPr>
        <w:t>, в лице Генерального директора Кузьмина Игоря Анатольевича, действующего</w:t>
      </w:r>
      <w:r w:rsidR="00C926DA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Устава, с другой </w:t>
      </w:r>
      <w:r w:rsidR="0004729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07EC6">
        <w:rPr>
          <w:rFonts w:ascii="Times New Roman" w:eastAsia="Times New Roman" w:hAnsi="Times New Roman" w:cs="Times New Roman"/>
          <w:sz w:val="28"/>
          <w:szCs w:val="28"/>
        </w:rPr>
        <w:t xml:space="preserve">тороны, далее именуемые </w:t>
      </w:r>
      <w:r w:rsidRPr="00507EC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«Стороны», </w:t>
      </w:r>
      <w:r w:rsidR="00256E88" w:rsidRPr="00507EC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A832BE" w:rsidRPr="00507EC6">
        <w:rPr>
          <w:rFonts w:ascii="Times New Roman" w:hAnsi="Times New Roman" w:cs="Times New Roman"/>
          <w:sz w:val="28"/>
          <w:szCs w:val="28"/>
        </w:rPr>
        <w:t>законом «Об электроэнергетике»</w:t>
      </w:r>
      <w:r w:rsidR="00256E88" w:rsidRPr="00507EC6">
        <w:rPr>
          <w:rFonts w:ascii="Times New Roman" w:hAnsi="Times New Roman" w:cs="Times New Roman"/>
          <w:sz w:val="28"/>
          <w:szCs w:val="28"/>
        </w:rPr>
        <w:t xml:space="preserve"> </w:t>
      </w:r>
      <w:r w:rsidR="00A832BE" w:rsidRPr="00507EC6">
        <w:rPr>
          <w:rFonts w:ascii="Times New Roman" w:hAnsi="Times New Roman" w:cs="Times New Roman"/>
          <w:sz w:val="28"/>
          <w:szCs w:val="28"/>
        </w:rPr>
        <w:t xml:space="preserve">и Правилами заключения, изменения </w:t>
      </w:r>
      <w:r w:rsidR="00256E88" w:rsidRPr="00507EC6">
        <w:rPr>
          <w:rFonts w:ascii="Times New Roman" w:hAnsi="Times New Roman" w:cs="Times New Roman"/>
          <w:sz w:val="28"/>
          <w:szCs w:val="28"/>
        </w:rPr>
        <w:t xml:space="preserve">и </w:t>
      </w:r>
      <w:r w:rsidR="00A832BE" w:rsidRPr="00507EC6">
        <w:rPr>
          <w:rFonts w:ascii="Times New Roman" w:hAnsi="Times New Roman" w:cs="Times New Roman"/>
          <w:sz w:val="28"/>
          <w:szCs w:val="28"/>
        </w:rPr>
        <w:t xml:space="preserve">расторжения соглашений об условиях осуществления регулируемых </w:t>
      </w:r>
      <w:r w:rsidR="00256E88" w:rsidRPr="00507EC6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A832BE" w:rsidRPr="00507EC6">
        <w:rPr>
          <w:rFonts w:ascii="Times New Roman" w:hAnsi="Times New Roman" w:cs="Times New Roman"/>
          <w:sz w:val="28"/>
          <w:szCs w:val="28"/>
        </w:rPr>
        <w:t>деятельности, утве</w:t>
      </w:r>
      <w:r w:rsidR="00256E88" w:rsidRPr="00507EC6">
        <w:rPr>
          <w:rFonts w:ascii="Times New Roman" w:hAnsi="Times New Roman" w:cs="Times New Roman"/>
          <w:sz w:val="28"/>
          <w:szCs w:val="28"/>
        </w:rPr>
        <w:t xml:space="preserve">ржденными </w:t>
      </w:r>
      <w:r w:rsidR="00A832BE" w:rsidRPr="00507EC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256E88" w:rsidRPr="00507EC6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A832BE" w:rsidRPr="00507EC6">
        <w:rPr>
          <w:rFonts w:ascii="Times New Roman" w:hAnsi="Times New Roman" w:cs="Times New Roman"/>
          <w:sz w:val="28"/>
          <w:szCs w:val="28"/>
        </w:rPr>
        <w:t>Федерации от 31 августа 2023 г. №</w:t>
      </w:r>
      <w:r w:rsidRPr="00507EC6">
        <w:rPr>
          <w:rFonts w:ascii="Times New Roman" w:hAnsi="Times New Roman" w:cs="Times New Roman"/>
          <w:sz w:val="28"/>
          <w:szCs w:val="28"/>
        </w:rPr>
        <w:t> </w:t>
      </w:r>
      <w:r w:rsidR="00A832BE" w:rsidRPr="00507EC6">
        <w:rPr>
          <w:rFonts w:ascii="Times New Roman" w:hAnsi="Times New Roman" w:cs="Times New Roman"/>
          <w:sz w:val="28"/>
          <w:szCs w:val="28"/>
        </w:rPr>
        <w:t xml:space="preserve">1416 «О </w:t>
      </w:r>
      <w:r w:rsidR="00256E88" w:rsidRPr="00507EC6">
        <w:rPr>
          <w:rFonts w:ascii="Times New Roman" w:hAnsi="Times New Roman" w:cs="Times New Roman"/>
          <w:sz w:val="28"/>
          <w:szCs w:val="28"/>
        </w:rPr>
        <w:t xml:space="preserve">соглашениях об условиях </w:t>
      </w:r>
      <w:r w:rsidR="00A832BE" w:rsidRPr="00507EC6">
        <w:rPr>
          <w:rFonts w:ascii="Times New Roman" w:hAnsi="Times New Roman" w:cs="Times New Roman"/>
          <w:sz w:val="28"/>
          <w:szCs w:val="28"/>
        </w:rPr>
        <w:t xml:space="preserve">осуществления регулируемых видов деятельности», заключили настоящее </w:t>
      </w:r>
      <w:r w:rsidR="0004729B">
        <w:rPr>
          <w:rFonts w:ascii="Times New Roman" w:hAnsi="Times New Roman" w:cs="Times New Roman"/>
          <w:sz w:val="28"/>
          <w:szCs w:val="28"/>
        </w:rPr>
        <w:t>Д</w:t>
      </w:r>
      <w:r w:rsidRPr="00507EC6">
        <w:rPr>
          <w:rFonts w:ascii="Times New Roman" w:hAnsi="Times New Roman" w:cs="Times New Roman"/>
          <w:sz w:val="28"/>
          <w:szCs w:val="28"/>
        </w:rPr>
        <w:t>ополнительное соглашение к Соглашению об условиях осуществления регулируемой деятельности по оказанию услуг по передаче электрической энергии от 11.02.2022</w:t>
      </w:r>
      <w:r w:rsidR="00A832BE" w:rsidRPr="00507EC6">
        <w:rPr>
          <w:rFonts w:ascii="Times New Roman" w:hAnsi="Times New Roman" w:cs="Times New Roman"/>
          <w:sz w:val="28"/>
          <w:szCs w:val="28"/>
        </w:rPr>
        <w:t xml:space="preserve"> о нижеследующем.</w:t>
      </w:r>
    </w:p>
    <w:p w:rsidR="00103FF7" w:rsidRPr="00507EC6" w:rsidRDefault="00103FF7" w:rsidP="007F3F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F53" w:rsidRPr="00507EC6" w:rsidRDefault="00FF4F53" w:rsidP="00FF4F53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3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Изложить раздел </w:t>
      </w:r>
      <w:r w:rsidRPr="00507EC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D1117"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«Предмет соглашения» </w:t>
      </w:r>
      <w:r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следующей редакции:</w:t>
      </w:r>
    </w:p>
    <w:p w:rsidR="00FF4F53" w:rsidRPr="00507EC6" w:rsidRDefault="00FF4F53" w:rsidP="0062388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7EC6">
        <w:rPr>
          <w:rFonts w:ascii="Times New Roman" w:hAnsi="Times New Roman" w:cs="Times New Roman"/>
          <w:sz w:val="28"/>
        </w:rPr>
        <w:t>«</w:t>
      </w:r>
      <w:r w:rsidR="00911E2D" w:rsidRPr="00507EC6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3400C8" w:rsidRPr="00507EC6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911E2D" w:rsidRPr="00507EC6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настоящим соглашением Регулируемая организация принимает на себя обязательства осуществлять регулируемую деятельность по оказанию услуг по передаче электрической энергии на территории Ленинградской области и достичь плановых значений показателей надежности и качества услуг по передаче электрической энергии, уровня потерь электрической энергии при ее передаче по электрическим сетям, осуществить реализацию инвестиционной программы организации в соответствии с решениями об утверждении инвестиционной программы организации и (или) изменений, которые вносятся в инвестиционную программу организации, принятыми в порядке, установленном законодательством Российской Федерации об электроэнергетике, и соблюдать иные условия, предусмотренные настоящим соглашением, а Регулирующий орган обязуется устанавливать единые (котловые) тарифы на территории Ленинградской </w:t>
      </w:r>
      <w:r w:rsidR="00911E2D" w:rsidRPr="00507EC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области в порядке, предусмотренном настоящим соглашением, и соблюдать иные условия, предусмот</w:t>
      </w:r>
      <w:r w:rsidR="005E34B6">
        <w:rPr>
          <w:rFonts w:ascii="Times New Roman" w:hAnsi="Times New Roman" w:cs="Times New Roman"/>
          <w:sz w:val="28"/>
          <w:szCs w:val="28"/>
          <w:lang w:eastAsia="en-US"/>
        </w:rPr>
        <w:t>ренные настоящим соглашением</w:t>
      </w:r>
      <w:r w:rsidRPr="00507EC6">
        <w:rPr>
          <w:rFonts w:ascii="Times New Roman" w:hAnsi="Times New Roman" w:cs="Times New Roman"/>
          <w:sz w:val="28"/>
        </w:rPr>
        <w:t>»</w:t>
      </w:r>
      <w:r w:rsidR="005E34B6">
        <w:rPr>
          <w:rFonts w:ascii="Times New Roman" w:hAnsi="Times New Roman" w:cs="Times New Roman"/>
          <w:sz w:val="28"/>
        </w:rPr>
        <w:t>.</w:t>
      </w:r>
    </w:p>
    <w:p w:rsidR="009C19C8" w:rsidRDefault="009C19C8" w:rsidP="00A6301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3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Исключить </w:t>
      </w:r>
      <w:r w:rsidR="00FA3049"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 </w:t>
      </w:r>
      <w:r w:rsidR="00FA3049" w:rsidRPr="00507EC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="00FA3049"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«Условия осуществления регулируемой деятельности»</w:t>
      </w:r>
      <w:r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70575" w:rsidRDefault="00B70575" w:rsidP="00B70575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63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3FF7" w:rsidRPr="00507EC6" w:rsidRDefault="00FA3049" w:rsidP="00FF4F53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3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 </w:t>
      </w:r>
      <w:r w:rsidRPr="00507EC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III</w:t>
      </w:r>
      <w:r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«Обязательства сторон» считать разделом </w:t>
      </w:r>
      <w:r w:rsidRPr="00507EC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</w:t>
      </w:r>
      <w:r w:rsidR="00103FF7"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>зложить в</w:t>
      </w:r>
      <w:r w:rsidR="003E50C7"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103FF7"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следующей редакции:</w:t>
      </w:r>
    </w:p>
    <w:p w:rsidR="00FA3049" w:rsidRPr="00507EC6" w:rsidRDefault="00103FF7" w:rsidP="008926C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7EC6">
        <w:rPr>
          <w:rFonts w:ascii="Times New Roman" w:hAnsi="Times New Roman" w:cs="Times New Roman"/>
          <w:sz w:val="28"/>
          <w:szCs w:val="28"/>
        </w:rPr>
        <w:t>«</w:t>
      </w:r>
      <w:r w:rsidR="00623886" w:rsidRPr="00507EC6">
        <w:rPr>
          <w:rFonts w:ascii="Times New Roman" w:hAnsi="Times New Roman" w:cs="Times New Roman"/>
          <w:sz w:val="28"/>
          <w:szCs w:val="28"/>
        </w:rPr>
        <w:t>2</w:t>
      </w:r>
      <w:r w:rsidR="00FA3049" w:rsidRPr="00507EC6">
        <w:rPr>
          <w:rFonts w:ascii="Times New Roman" w:hAnsi="Times New Roman" w:cs="Times New Roman"/>
          <w:sz w:val="28"/>
          <w:szCs w:val="28"/>
        </w:rPr>
        <w:t>.</w:t>
      </w:r>
      <w:r w:rsidR="00FA3049"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обязательствам Регулируемой организации в соответствии с настоящим соглашением относятся:</w:t>
      </w:r>
    </w:p>
    <w:p w:rsidR="00FA3049" w:rsidRDefault="00FA3049" w:rsidP="00A6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>а) достижение следующих плановых значений показателей надежности оказываемых услуг по передаче электрической энергии:</w:t>
      </w:r>
    </w:p>
    <w:p w:rsidR="00A6301E" w:rsidRPr="00507EC6" w:rsidRDefault="00A6301E" w:rsidP="00A6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7"/>
        <w:tblW w:w="9560" w:type="dxa"/>
        <w:tblLook w:val="04A0" w:firstRow="1" w:lastRow="0" w:firstColumn="1" w:lastColumn="0" w:noHBand="0" w:noVBand="1"/>
      </w:tblPr>
      <w:tblGrid>
        <w:gridCol w:w="5871"/>
        <w:gridCol w:w="874"/>
        <w:gridCol w:w="931"/>
        <w:gridCol w:w="953"/>
        <w:gridCol w:w="931"/>
      </w:tblGrid>
      <w:tr w:rsidR="00507EC6" w:rsidRPr="00507EC6" w:rsidTr="00851039">
        <w:tc>
          <w:tcPr>
            <w:tcW w:w="5871" w:type="dxa"/>
          </w:tcPr>
          <w:p w:rsidR="00FA3049" w:rsidRPr="004E3658" w:rsidRDefault="00FA3049" w:rsidP="00A6301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4" w:type="dxa"/>
          </w:tcPr>
          <w:p w:rsidR="00FA3049" w:rsidRPr="004E3658" w:rsidRDefault="00FA3049" w:rsidP="00A6301E">
            <w:pPr>
              <w:rPr>
                <w:rFonts w:ascii="Times New Roman" w:hAnsi="Times New Roman" w:cs="Times New Roman"/>
                <w:lang w:eastAsia="en-US"/>
              </w:rPr>
            </w:pPr>
            <w:r w:rsidRPr="004E3658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931" w:type="dxa"/>
          </w:tcPr>
          <w:p w:rsidR="00FA3049" w:rsidRPr="004E3658" w:rsidRDefault="00FA3049" w:rsidP="00A6301E">
            <w:pPr>
              <w:rPr>
                <w:rFonts w:ascii="Times New Roman" w:hAnsi="Times New Roman" w:cs="Times New Roman"/>
                <w:lang w:eastAsia="en-US"/>
              </w:rPr>
            </w:pPr>
            <w:r w:rsidRPr="004E3658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953" w:type="dxa"/>
          </w:tcPr>
          <w:p w:rsidR="00FA3049" w:rsidRPr="004E3658" w:rsidRDefault="00FA3049" w:rsidP="00A6301E">
            <w:pPr>
              <w:rPr>
                <w:rFonts w:ascii="Times New Roman" w:hAnsi="Times New Roman" w:cs="Times New Roman"/>
                <w:lang w:eastAsia="en-US"/>
              </w:rPr>
            </w:pPr>
            <w:r w:rsidRPr="004E3658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  <w:tc>
          <w:tcPr>
            <w:tcW w:w="931" w:type="dxa"/>
          </w:tcPr>
          <w:p w:rsidR="00FA3049" w:rsidRPr="004E3658" w:rsidRDefault="00FA3049" w:rsidP="00A6301E">
            <w:pPr>
              <w:rPr>
                <w:rFonts w:ascii="Times New Roman" w:hAnsi="Times New Roman" w:cs="Times New Roman"/>
                <w:lang w:eastAsia="en-US"/>
              </w:rPr>
            </w:pPr>
            <w:r w:rsidRPr="004E3658">
              <w:rPr>
                <w:rFonts w:ascii="Times New Roman" w:hAnsi="Times New Roman" w:cs="Times New Roman"/>
                <w:lang w:eastAsia="en-US"/>
              </w:rPr>
              <w:t>2028</w:t>
            </w:r>
          </w:p>
        </w:tc>
      </w:tr>
      <w:tr w:rsidR="00507EC6" w:rsidRPr="00507EC6" w:rsidTr="00851039">
        <w:tc>
          <w:tcPr>
            <w:tcW w:w="5871" w:type="dxa"/>
            <w:vAlign w:val="center"/>
          </w:tcPr>
          <w:p w:rsidR="00B808C1" w:rsidRPr="004E3658" w:rsidRDefault="00B808C1" w:rsidP="00A6301E">
            <w:pPr>
              <w:rPr>
                <w:rFonts w:ascii="Times New Roman" w:eastAsia="Times New Roman" w:hAnsi="Times New Roman" w:cs="Times New Roman"/>
              </w:rPr>
            </w:pPr>
            <w:r w:rsidRPr="004E3658">
              <w:rPr>
                <w:rFonts w:ascii="Times New Roman" w:hAnsi="Times New Roman" w:cs="Times New Roman"/>
              </w:rPr>
              <w:t>Средняя продолжительность прекращения передачи электрической энергии на точку поставки (</w:t>
            </w:r>
            <w:proofErr w:type="spellStart"/>
            <w:r w:rsidRPr="004E3658">
              <w:rPr>
                <w:rFonts w:ascii="Times New Roman" w:hAnsi="Times New Roman" w:cs="Times New Roman"/>
              </w:rPr>
              <w:t>Пsaidi</w:t>
            </w:r>
            <w:proofErr w:type="spellEnd"/>
            <w:r w:rsidRPr="004E3658">
              <w:rPr>
                <w:rFonts w:ascii="Times New Roman" w:hAnsi="Times New Roman" w:cs="Times New Roman"/>
              </w:rPr>
              <w:t>), час</w:t>
            </w:r>
          </w:p>
        </w:tc>
        <w:tc>
          <w:tcPr>
            <w:tcW w:w="874" w:type="dxa"/>
            <w:vAlign w:val="center"/>
          </w:tcPr>
          <w:p w:rsidR="00B808C1" w:rsidRPr="004E3658" w:rsidRDefault="00851039" w:rsidP="00A6301E">
            <w:pPr>
              <w:jc w:val="right"/>
              <w:rPr>
                <w:rFonts w:ascii="Times New Roman" w:hAnsi="Times New Roman" w:cs="Times New Roman"/>
              </w:rPr>
            </w:pPr>
            <w:r w:rsidRPr="00851039">
              <w:rPr>
                <w:rFonts w:ascii="Times New Roman" w:hAnsi="Times New Roman" w:cs="Times New Roman"/>
              </w:rPr>
              <w:t>1,1525</w:t>
            </w:r>
          </w:p>
        </w:tc>
        <w:tc>
          <w:tcPr>
            <w:tcW w:w="931" w:type="dxa"/>
            <w:vAlign w:val="center"/>
          </w:tcPr>
          <w:p w:rsidR="00B808C1" w:rsidRPr="004E3658" w:rsidRDefault="00851039" w:rsidP="00A6301E">
            <w:pPr>
              <w:jc w:val="right"/>
              <w:rPr>
                <w:rFonts w:ascii="Times New Roman" w:hAnsi="Times New Roman" w:cs="Times New Roman"/>
              </w:rPr>
            </w:pPr>
            <w:r w:rsidRPr="00851039">
              <w:rPr>
                <w:rFonts w:ascii="Times New Roman" w:hAnsi="Times New Roman" w:cs="Times New Roman"/>
              </w:rPr>
              <w:t>1,1352*</w:t>
            </w:r>
          </w:p>
        </w:tc>
        <w:tc>
          <w:tcPr>
            <w:tcW w:w="953" w:type="dxa"/>
            <w:vAlign w:val="center"/>
          </w:tcPr>
          <w:p w:rsidR="00B808C1" w:rsidRPr="004E3658" w:rsidRDefault="00851039" w:rsidP="00A6301E">
            <w:pPr>
              <w:jc w:val="right"/>
              <w:rPr>
                <w:rFonts w:ascii="Times New Roman" w:hAnsi="Times New Roman" w:cs="Times New Roman"/>
              </w:rPr>
            </w:pPr>
            <w:r w:rsidRPr="00851039">
              <w:rPr>
                <w:rFonts w:ascii="Times New Roman" w:hAnsi="Times New Roman" w:cs="Times New Roman"/>
              </w:rPr>
              <w:t>1,1182*</w:t>
            </w:r>
          </w:p>
        </w:tc>
        <w:tc>
          <w:tcPr>
            <w:tcW w:w="931" w:type="dxa"/>
            <w:vAlign w:val="center"/>
          </w:tcPr>
          <w:p w:rsidR="00B808C1" w:rsidRPr="004E3658" w:rsidRDefault="00851039" w:rsidP="00A6301E">
            <w:pPr>
              <w:jc w:val="right"/>
              <w:rPr>
                <w:rFonts w:ascii="Times New Roman" w:hAnsi="Times New Roman" w:cs="Times New Roman"/>
              </w:rPr>
            </w:pPr>
            <w:r w:rsidRPr="00851039">
              <w:rPr>
                <w:rFonts w:ascii="Times New Roman" w:hAnsi="Times New Roman" w:cs="Times New Roman"/>
              </w:rPr>
              <w:t>1,1014*</w:t>
            </w:r>
          </w:p>
        </w:tc>
      </w:tr>
      <w:tr w:rsidR="00B808C1" w:rsidRPr="00507EC6" w:rsidTr="00851039">
        <w:tc>
          <w:tcPr>
            <w:tcW w:w="5871" w:type="dxa"/>
            <w:vAlign w:val="center"/>
          </w:tcPr>
          <w:p w:rsidR="00B808C1" w:rsidRPr="00851039" w:rsidRDefault="00B808C1" w:rsidP="00A6301E">
            <w:pPr>
              <w:rPr>
                <w:rFonts w:ascii="Times New Roman" w:hAnsi="Times New Roman" w:cs="Times New Roman"/>
              </w:rPr>
            </w:pPr>
            <w:r w:rsidRPr="00851039">
              <w:rPr>
                <w:rFonts w:ascii="Times New Roman" w:hAnsi="Times New Roman" w:cs="Times New Roman"/>
              </w:rPr>
              <w:t>Средняя частота прекращений передачи электрической энергии на точку поставки (</w:t>
            </w:r>
            <w:proofErr w:type="spellStart"/>
            <w:r w:rsidRPr="00851039">
              <w:rPr>
                <w:rFonts w:ascii="Times New Roman" w:hAnsi="Times New Roman" w:cs="Times New Roman"/>
              </w:rPr>
              <w:t>Пsaifi</w:t>
            </w:r>
            <w:proofErr w:type="spellEnd"/>
            <w:r w:rsidRPr="00851039">
              <w:rPr>
                <w:rFonts w:ascii="Times New Roman" w:hAnsi="Times New Roman" w:cs="Times New Roman"/>
              </w:rPr>
              <w:t>), шт.</w:t>
            </w:r>
          </w:p>
        </w:tc>
        <w:tc>
          <w:tcPr>
            <w:tcW w:w="874" w:type="dxa"/>
            <w:vAlign w:val="center"/>
          </w:tcPr>
          <w:p w:rsidR="00B808C1" w:rsidRPr="00851039" w:rsidRDefault="00851039" w:rsidP="00A6301E">
            <w:pPr>
              <w:jc w:val="right"/>
              <w:rPr>
                <w:rFonts w:ascii="Times New Roman" w:hAnsi="Times New Roman" w:cs="Times New Roman"/>
              </w:rPr>
            </w:pPr>
            <w:r w:rsidRPr="00851039">
              <w:rPr>
                <w:rFonts w:ascii="Times New Roman" w:hAnsi="Times New Roman" w:cs="Times New Roman"/>
              </w:rPr>
              <w:t>0,6001</w:t>
            </w:r>
          </w:p>
        </w:tc>
        <w:tc>
          <w:tcPr>
            <w:tcW w:w="931" w:type="dxa"/>
            <w:vAlign w:val="center"/>
          </w:tcPr>
          <w:p w:rsidR="00B808C1" w:rsidRPr="004E3658" w:rsidRDefault="00851039" w:rsidP="00A6301E">
            <w:pPr>
              <w:jc w:val="right"/>
              <w:rPr>
                <w:rFonts w:ascii="Times New Roman" w:hAnsi="Times New Roman" w:cs="Times New Roman"/>
              </w:rPr>
            </w:pPr>
            <w:r w:rsidRPr="00851039">
              <w:rPr>
                <w:rFonts w:ascii="Times New Roman" w:hAnsi="Times New Roman" w:cs="Times New Roman"/>
              </w:rPr>
              <w:t>0,5911*</w:t>
            </w:r>
          </w:p>
        </w:tc>
        <w:tc>
          <w:tcPr>
            <w:tcW w:w="953" w:type="dxa"/>
            <w:vAlign w:val="center"/>
          </w:tcPr>
          <w:p w:rsidR="00B808C1" w:rsidRPr="004E3658" w:rsidRDefault="00851039" w:rsidP="00A6301E">
            <w:pPr>
              <w:jc w:val="right"/>
              <w:rPr>
                <w:rFonts w:ascii="Times New Roman" w:hAnsi="Times New Roman" w:cs="Times New Roman"/>
              </w:rPr>
            </w:pPr>
            <w:r w:rsidRPr="00851039">
              <w:rPr>
                <w:rFonts w:ascii="Times New Roman" w:hAnsi="Times New Roman" w:cs="Times New Roman"/>
              </w:rPr>
              <w:t>0,5822*</w:t>
            </w:r>
          </w:p>
        </w:tc>
        <w:tc>
          <w:tcPr>
            <w:tcW w:w="931" w:type="dxa"/>
            <w:vAlign w:val="center"/>
          </w:tcPr>
          <w:p w:rsidR="00B808C1" w:rsidRPr="004E3658" w:rsidRDefault="00851039" w:rsidP="00A6301E">
            <w:pPr>
              <w:jc w:val="right"/>
              <w:rPr>
                <w:rFonts w:ascii="Times New Roman" w:hAnsi="Times New Roman" w:cs="Times New Roman"/>
              </w:rPr>
            </w:pPr>
            <w:r w:rsidRPr="00851039">
              <w:rPr>
                <w:rFonts w:ascii="Times New Roman" w:hAnsi="Times New Roman" w:cs="Times New Roman"/>
              </w:rPr>
              <w:t>0,5735*</w:t>
            </w:r>
          </w:p>
        </w:tc>
      </w:tr>
    </w:tbl>
    <w:p w:rsidR="00A6301E" w:rsidRDefault="00A6301E" w:rsidP="00A63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2637A" w:rsidRDefault="00851039" w:rsidP="00B7057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51039">
        <w:rPr>
          <w:rFonts w:ascii="Times New Roman" w:eastAsiaTheme="minorHAnsi" w:hAnsi="Times New Roman" w:cs="Times New Roman"/>
          <w:sz w:val="28"/>
          <w:szCs w:val="28"/>
          <w:lang w:eastAsia="en-US"/>
        </w:rPr>
        <w:t>*В случае отклонения плановых значений показателей надежности оказываемых услуг по передаче электрической энергии, установленных Регулирующим органом на очередной долгосрочный период регулирования в порядке, предусмотренном действующим законодательством Российской Федерации в отношении расчета данных показателей, от плановых значений показателей надежности оказываемых услуг по передаче электрической энергии, указанных в вышеприведенной таблице, учитывается достижение Регулируемой организацией плановых значений показателей надежности оказываемых услуг по передаче</w:t>
      </w:r>
      <w:proofErr w:type="gramEnd"/>
      <w:r w:rsidRPr="00851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электрической энергии, установленных Регулирующим органом в составе долгосрочных параметров регулирования на очередной долгосрочный период регулирования в соответствии с действующим законодательством Российской Федерации в отнош</w:t>
      </w:r>
      <w:r w:rsidR="005E34B6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ении расчета данных показателей;</w:t>
      </w:r>
    </w:p>
    <w:p w:rsidR="00FA3049" w:rsidRDefault="00FA3049" w:rsidP="00C2637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>б) достижение следующих плановых значений показателей качества оказываемых услуг по передаче электрической энергии: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5098"/>
        <w:gridCol w:w="1098"/>
        <w:gridCol w:w="1099"/>
        <w:gridCol w:w="1099"/>
        <w:gridCol w:w="1099"/>
      </w:tblGrid>
      <w:tr w:rsidR="004E3658" w:rsidTr="0073212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58" w:rsidRPr="00D542D6" w:rsidRDefault="004E365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58" w:rsidRPr="00D542D6" w:rsidRDefault="004E365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42D6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58" w:rsidRPr="00D542D6" w:rsidRDefault="004E365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42D6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58" w:rsidRPr="00D542D6" w:rsidRDefault="004E365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42D6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58" w:rsidRPr="00D542D6" w:rsidRDefault="004E365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42D6">
              <w:rPr>
                <w:rFonts w:ascii="Times New Roman" w:hAnsi="Times New Roman" w:cs="Times New Roman"/>
                <w:lang w:eastAsia="en-US"/>
              </w:rPr>
              <w:t>2028</w:t>
            </w:r>
          </w:p>
        </w:tc>
      </w:tr>
      <w:tr w:rsidR="004E3658" w:rsidTr="0073212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58" w:rsidRPr="00D542D6" w:rsidRDefault="004E365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542D6">
              <w:rPr>
                <w:rFonts w:ascii="Times New Roman" w:hAnsi="Times New Roman" w:cs="Times New Roman"/>
                <w:lang w:eastAsia="en-US"/>
              </w:rPr>
              <w:t>Показатель уровня качества осуществляемого технологического присоединения (</w:t>
            </w:r>
            <w:proofErr w:type="spellStart"/>
            <w:r w:rsidRPr="00D542D6">
              <w:rPr>
                <w:rFonts w:ascii="Times New Roman" w:hAnsi="Times New Roman" w:cs="Times New Roman"/>
                <w:lang w:eastAsia="en-US"/>
              </w:rPr>
              <w:t>Птпр</w:t>
            </w:r>
            <w:proofErr w:type="spellEnd"/>
            <w:r w:rsidRPr="00D542D6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58" w:rsidRPr="00D542D6" w:rsidRDefault="00851039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542D6">
              <w:rPr>
                <w:rFonts w:ascii="Times New Roman" w:hAnsi="Times New Roman" w:cs="Times New Roman"/>
                <w:lang w:eastAsia="en-US"/>
              </w:rPr>
              <w:t>1,0428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58" w:rsidRPr="00D542D6" w:rsidRDefault="00851039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542D6">
              <w:rPr>
                <w:rFonts w:ascii="Times New Roman" w:hAnsi="Times New Roman" w:cs="Times New Roman"/>
                <w:lang w:eastAsia="en-US"/>
              </w:rPr>
              <w:t>1,0272*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58" w:rsidRPr="00D542D6" w:rsidRDefault="004E3658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542D6">
              <w:rPr>
                <w:rFonts w:ascii="Times New Roman" w:hAnsi="Times New Roman" w:cs="Times New Roman"/>
                <w:lang w:eastAsia="en-US"/>
              </w:rPr>
              <w:t>1,0118</w:t>
            </w:r>
            <w:r w:rsidR="00851039" w:rsidRPr="00D542D6">
              <w:rPr>
                <w:rFonts w:ascii="Times New Roman" w:hAnsi="Times New Roman" w:cs="Times New Roman"/>
                <w:lang w:eastAsia="en-US"/>
              </w:rPr>
              <w:t>*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58" w:rsidRPr="00D542D6" w:rsidRDefault="004E3658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542D6">
              <w:rPr>
                <w:rFonts w:ascii="Times New Roman" w:hAnsi="Times New Roman" w:cs="Times New Roman"/>
                <w:lang w:eastAsia="en-US"/>
              </w:rPr>
              <w:t>1,0000</w:t>
            </w:r>
            <w:r w:rsidR="00851039" w:rsidRPr="00D542D6">
              <w:rPr>
                <w:rFonts w:ascii="Times New Roman" w:hAnsi="Times New Roman" w:cs="Times New Roman"/>
                <w:lang w:eastAsia="en-US"/>
              </w:rPr>
              <w:t>*</w:t>
            </w:r>
          </w:p>
        </w:tc>
      </w:tr>
    </w:tbl>
    <w:p w:rsidR="008926C9" w:rsidRPr="00507EC6" w:rsidRDefault="00851039" w:rsidP="00187D3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Pr="00851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*В случае отклонения плановых значений показателей качества оказываемых услуг по передаче электрической энергии, установленных Регулирующим органом на очередной долгосрочный период регулирования в порядке, предусмотренном действующим законодательством Российской Федерации в отношении расчета данных показателей, от плановых значений показателей качества оказываемых услуг по передаче электрической энергии, указанных в вышеприведенной таблице, учитывается достижение Регулируемой организацией плановых значений показателей качества </w:t>
      </w:r>
      <w:r w:rsidRPr="0085103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оказываемых услуг по передаче электрической энергии, установленных Регулирующим органом в составе долгосрочных параметров регулирования на очередной долгосрочный период регулирования в соответствии с действующим законодательством Российской Федерации в отнош</w:t>
      </w:r>
      <w:r w:rsidR="005E34B6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ении расчета данных показателей;</w:t>
      </w:r>
    </w:p>
    <w:p w:rsidR="00851039" w:rsidRDefault="00FA3049" w:rsidP="00851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851039" w:rsidRPr="00851039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достижение уровня потерь электрической энергии при ее передаче по электрическим се</w:t>
      </w:r>
      <w:r w:rsidR="00851039">
        <w:rPr>
          <w:rFonts w:ascii="Times New Roman" w:eastAsiaTheme="minorHAnsi" w:hAnsi="Times New Roman" w:cs="Times New Roman"/>
          <w:sz w:val="28"/>
          <w:szCs w:val="28"/>
          <w:lang w:eastAsia="en-US"/>
        </w:rPr>
        <w:t>тям – 9,72% * в 2025-2028 годах;</w:t>
      </w:r>
    </w:p>
    <w:p w:rsidR="00851039" w:rsidRDefault="00851039" w:rsidP="00851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1039">
        <w:rPr>
          <w:rFonts w:ascii="Times New Roman" w:eastAsiaTheme="minorHAnsi" w:hAnsi="Times New Roman" w:cs="Times New Roman"/>
          <w:sz w:val="28"/>
          <w:szCs w:val="28"/>
          <w:lang w:eastAsia="en-US"/>
        </w:rPr>
        <w:t>*В случае отклонения уровня потерь электрической энергии при ее передаче по электрическим сетям, установленного Регулирующим органом на очередной долгосрочный период регулирования в порядке, предусмотренном действующим законодательством Российской Федерации в отношении расчета данного показателя, от уровня потерь электрической энергии при ее передаче по электрическим сетям, указанного в вышеприведенном абзаце, учитывается достижение Регулируемой организацией уровня потерь электрической энергии при ее передаче по электрическим сетям, установленного Регулирующим органом в составе долгосрочных параметров регулирования на очередной долгосрочный период регулирования в соответствии с действующим законодательством Российской Федерации в отноше</w:t>
      </w:r>
      <w:r w:rsidR="005E34B6">
        <w:rPr>
          <w:rFonts w:ascii="Times New Roman" w:eastAsiaTheme="minorHAnsi" w:hAnsi="Times New Roman" w:cs="Times New Roman"/>
          <w:sz w:val="28"/>
          <w:szCs w:val="28"/>
          <w:lang w:eastAsia="en-US"/>
        </w:rPr>
        <w:t>нии расчета данного показателя;</w:t>
      </w:r>
    </w:p>
    <w:p w:rsidR="00D7005B" w:rsidRDefault="00D7005B" w:rsidP="00851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26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реализация инвестиционной программы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Регулируемой </w:t>
      </w:r>
      <w:r w:rsidRPr="008926C9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 в соответствии с решениями об утверждении инвестиционной программы организации и (или) изменений, которые вносятся в инвестиционную программу организации, принятыми в порядке, установленном законодательством Российской Федерации об электроэнергетике, в том числе за счет следующих средств, учитываемых при установлении цен (тарифов) на услуги по передаче электрической энергии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7005B" w:rsidRDefault="00D7005B" w:rsidP="00D70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1"/>
        <w:gridCol w:w="1378"/>
        <w:gridCol w:w="1200"/>
        <w:gridCol w:w="1200"/>
        <w:gridCol w:w="1293"/>
      </w:tblGrid>
      <w:tr w:rsidR="00D7005B" w:rsidRPr="004E3658" w:rsidTr="00A6301E">
        <w:tc>
          <w:tcPr>
            <w:tcW w:w="5070" w:type="dxa"/>
          </w:tcPr>
          <w:p w:rsidR="00D7005B" w:rsidRPr="004E3658" w:rsidRDefault="00D7005B" w:rsidP="00A6301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D7005B" w:rsidRPr="004E3658" w:rsidRDefault="00D7005B" w:rsidP="00A6301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E3658">
              <w:rPr>
                <w:rFonts w:ascii="Times New Roman" w:eastAsiaTheme="minorHAnsi" w:hAnsi="Times New Roman" w:cs="Times New Roman"/>
                <w:lang w:eastAsia="en-US"/>
              </w:rPr>
              <w:t xml:space="preserve">2025 </w:t>
            </w:r>
          </w:p>
        </w:tc>
        <w:tc>
          <w:tcPr>
            <w:tcW w:w="1276" w:type="dxa"/>
          </w:tcPr>
          <w:p w:rsidR="00D7005B" w:rsidRPr="004E3658" w:rsidRDefault="00D7005B" w:rsidP="00A6301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E3658">
              <w:rPr>
                <w:rFonts w:ascii="Times New Roman" w:eastAsiaTheme="minorHAnsi" w:hAnsi="Times New Roman" w:cs="Times New Roman"/>
                <w:lang w:eastAsia="en-US"/>
              </w:rPr>
              <w:t xml:space="preserve">2026 </w:t>
            </w:r>
          </w:p>
        </w:tc>
        <w:tc>
          <w:tcPr>
            <w:tcW w:w="1276" w:type="dxa"/>
          </w:tcPr>
          <w:p w:rsidR="00D7005B" w:rsidRPr="004E3658" w:rsidRDefault="00D7005B" w:rsidP="00A6301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E3658">
              <w:rPr>
                <w:rFonts w:ascii="Times New Roman" w:eastAsiaTheme="minorHAnsi" w:hAnsi="Times New Roman" w:cs="Times New Roman"/>
                <w:lang w:eastAsia="en-US"/>
              </w:rPr>
              <w:t xml:space="preserve">2027 </w:t>
            </w:r>
          </w:p>
        </w:tc>
        <w:tc>
          <w:tcPr>
            <w:tcW w:w="1382" w:type="dxa"/>
          </w:tcPr>
          <w:p w:rsidR="00D7005B" w:rsidRPr="004E3658" w:rsidRDefault="00D7005B" w:rsidP="00A6301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E3658">
              <w:rPr>
                <w:rFonts w:ascii="Times New Roman" w:eastAsiaTheme="minorHAnsi" w:hAnsi="Times New Roman" w:cs="Times New Roman"/>
                <w:lang w:eastAsia="en-US"/>
              </w:rPr>
              <w:t xml:space="preserve">2028  </w:t>
            </w:r>
          </w:p>
        </w:tc>
      </w:tr>
      <w:tr w:rsidR="00D7005B" w:rsidRPr="004E3658" w:rsidTr="00A6301E">
        <w:tc>
          <w:tcPr>
            <w:tcW w:w="5070" w:type="dxa"/>
          </w:tcPr>
          <w:p w:rsidR="00D7005B" w:rsidRPr="004E3658" w:rsidRDefault="00D7005B" w:rsidP="00A6301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E3658">
              <w:rPr>
                <w:rFonts w:ascii="Times New Roman" w:eastAsiaTheme="minorHAnsi" w:hAnsi="Times New Roman" w:cs="Times New Roman"/>
                <w:lang w:eastAsia="en-US"/>
              </w:rPr>
              <w:t xml:space="preserve"> Амортизация, млн. руб.</w:t>
            </w:r>
          </w:p>
        </w:tc>
        <w:tc>
          <w:tcPr>
            <w:tcW w:w="1417" w:type="dxa"/>
          </w:tcPr>
          <w:p w:rsidR="00D7005B" w:rsidRPr="004E3658" w:rsidRDefault="00D7005B" w:rsidP="007321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E3658">
              <w:rPr>
                <w:rFonts w:ascii="Times New Roman" w:eastAsiaTheme="minorHAnsi" w:hAnsi="Times New Roman" w:cs="Times New Roman"/>
                <w:lang w:eastAsia="en-US"/>
              </w:rPr>
              <w:t>6 201,95</w:t>
            </w:r>
            <w:r w:rsidR="003E111E">
              <w:rPr>
                <w:rFonts w:ascii="Times New Roman" w:eastAsiaTheme="minorHAnsi" w:hAnsi="Times New Roman" w:cs="Times New Roman"/>
                <w:lang w:eastAsia="en-US"/>
              </w:rPr>
              <w:t>*</w:t>
            </w:r>
          </w:p>
        </w:tc>
        <w:tc>
          <w:tcPr>
            <w:tcW w:w="1276" w:type="dxa"/>
          </w:tcPr>
          <w:p w:rsidR="00D7005B" w:rsidRPr="004E3658" w:rsidRDefault="0024360A" w:rsidP="00A630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*</w:t>
            </w:r>
          </w:p>
        </w:tc>
        <w:tc>
          <w:tcPr>
            <w:tcW w:w="1276" w:type="dxa"/>
          </w:tcPr>
          <w:p w:rsidR="00D7005B" w:rsidRPr="004E3658" w:rsidRDefault="0024360A" w:rsidP="00A630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*</w:t>
            </w:r>
          </w:p>
        </w:tc>
        <w:tc>
          <w:tcPr>
            <w:tcW w:w="1382" w:type="dxa"/>
          </w:tcPr>
          <w:p w:rsidR="00D7005B" w:rsidRPr="004E3658" w:rsidRDefault="0024360A" w:rsidP="00A630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*</w:t>
            </w:r>
          </w:p>
        </w:tc>
      </w:tr>
      <w:tr w:rsidR="00D7005B" w:rsidRPr="004E3658" w:rsidTr="00A6301E">
        <w:tc>
          <w:tcPr>
            <w:tcW w:w="5070" w:type="dxa"/>
          </w:tcPr>
          <w:p w:rsidR="00D7005B" w:rsidRPr="004E3658" w:rsidRDefault="00D7005B" w:rsidP="00A6301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E3658">
              <w:rPr>
                <w:rFonts w:ascii="Times New Roman" w:eastAsiaTheme="minorHAnsi" w:hAnsi="Times New Roman" w:cs="Times New Roman"/>
                <w:lang w:eastAsia="en-US"/>
              </w:rPr>
              <w:t>Прибыль от оказания услуг по передаче электрической энергии, млн. руб.</w:t>
            </w:r>
          </w:p>
        </w:tc>
        <w:tc>
          <w:tcPr>
            <w:tcW w:w="1417" w:type="dxa"/>
          </w:tcPr>
          <w:p w:rsidR="00D7005B" w:rsidRPr="004E3658" w:rsidRDefault="00D7005B" w:rsidP="007321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E3658">
              <w:rPr>
                <w:rFonts w:ascii="Times New Roman" w:eastAsiaTheme="minorHAnsi" w:hAnsi="Times New Roman" w:cs="Times New Roman"/>
                <w:lang w:eastAsia="en-US"/>
              </w:rPr>
              <w:t>2 931, 75</w:t>
            </w:r>
            <w:r w:rsidR="003E111E">
              <w:rPr>
                <w:rFonts w:ascii="Times New Roman" w:eastAsiaTheme="minorHAnsi" w:hAnsi="Times New Roman" w:cs="Times New Roman"/>
                <w:lang w:eastAsia="en-US"/>
              </w:rPr>
              <w:t>*</w:t>
            </w:r>
          </w:p>
        </w:tc>
        <w:tc>
          <w:tcPr>
            <w:tcW w:w="1276" w:type="dxa"/>
          </w:tcPr>
          <w:p w:rsidR="00D7005B" w:rsidRPr="004E3658" w:rsidRDefault="0024360A" w:rsidP="00A630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*</w:t>
            </w:r>
          </w:p>
        </w:tc>
        <w:tc>
          <w:tcPr>
            <w:tcW w:w="1276" w:type="dxa"/>
          </w:tcPr>
          <w:p w:rsidR="00D7005B" w:rsidRPr="004E3658" w:rsidRDefault="0024360A" w:rsidP="00A630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*</w:t>
            </w:r>
          </w:p>
        </w:tc>
        <w:tc>
          <w:tcPr>
            <w:tcW w:w="1382" w:type="dxa"/>
          </w:tcPr>
          <w:p w:rsidR="00D7005B" w:rsidRPr="004E3658" w:rsidRDefault="0024360A" w:rsidP="00A630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*</w:t>
            </w:r>
          </w:p>
        </w:tc>
      </w:tr>
    </w:tbl>
    <w:p w:rsidR="00D7005B" w:rsidRPr="004E3658" w:rsidRDefault="00D7005B" w:rsidP="00403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24360A" w:rsidRPr="0024360A" w:rsidRDefault="0024360A" w:rsidP="0024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36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* Размер источников финансирования, учитываемых при установлении цен (тарифов) на услуги по передаче электрической энергии, на 2025 год указан в соответствии с приложением №7.2 к приказу Минэнерго России от 08.12.2023 №15@. На момент подписания дополнительного соглашения №1 к настоящему соглашению Инвестиционная программа ПАО «Россети Ленэнерго» на 2026-2028 годы в установленном действующим законодательством Российской Федерации порядке не утверждена. </w:t>
      </w:r>
    </w:p>
    <w:p w:rsidR="00D7005B" w:rsidRDefault="00F95167" w:rsidP="00D70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51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отклонения объемов финансирования инвестиционной программы Регулируемой организации за счет выручки от реализации товаров (услуг) по регулируемым ценам (тарифам) на 2025 год в соответствии с утвержденной (скорректированной) в установленном действующим </w:t>
      </w:r>
      <w:r w:rsidRPr="00F9516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законодательством Российской Федерации  порядке инвестиционной программой от объемов финансирования инвестиционной программы, указанных в вышеприведенной таблице, а также утверждения соответствующих объемов на 2026-2028 гг., учитывается реализация Регулируемой организацией инвестиционной программы в соответствии  с теми решениями об ее утверждении и (или) изменении, которые приняты в порядке, установленном действующим законодательством Российской Федерации</w:t>
      </w:r>
      <w:r w:rsidR="00A6301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95167" w:rsidRDefault="00F95167" w:rsidP="00D70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C0591" w:rsidRPr="005C3E35" w:rsidRDefault="00D7005B" w:rsidP="003E1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06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</w:t>
      </w:r>
      <w:r w:rsidR="00CC0591" w:rsidRPr="005C3E35">
        <w:rPr>
          <w:rFonts w:ascii="Times New Roman" w:hAnsi="Times New Roman" w:cs="Times New Roman"/>
          <w:sz w:val="28"/>
          <w:szCs w:val="28"/>
        </w:rPr>
        <w:t>неукоснительное соблюдение</w:t>
      </w:r>
      <w:r w:rsidR="00CC0591">
        <w:rPr>
          <w:rFonts w:ascii="Times New Roman" w:hAnsi="Times New Roman" w:cs="Times New Roman"/>
          <w:sz w:val="28"/>
          <w:szCs w:val="28"/>
        </w:rPr>
        <w:t xml:space="preserve"> настоящего с</w:t>
      </w:r>
      <w:r w:rsidR="00CC0591" w:rsidRPr="005C3E35">
        <w:rPr>
          <w:rFonts w:ascii="Times New Roman" w:hAnsi="Times New Roman" w:cs="Times New Roman"/>
          <w:sz w:val="28"/>
          <w:szCs w:val="28"/>
        </w:rPr>
        <w:t>оглашения, осуществление регулируемой деятельности по передаче электрической энергии по принадлежащим Регулируемой организации электрическим сетям на территории Ленинградской области в соответствии с действующим законодательством в области электроэнергетики</w:t>
      </w:r>
      <w:r w:rsidR="00CC059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7005B" w:rsidRPr="005C3E35" w:rsidRDefault="00D7005B" w:rsidP="0042241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005B" w:rsidRDefault="00D7005B" w:rsidP="00D70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3E35">
        <w:rPr>
          <w:rFonts w:ascii="Times New Roman" w:eastAsiaTheme="minorHAnsi" w:hAnsi="Times New Roman" w:cs="Times New Roman"/>
          <w:sz w:val="28"/>
          <w:szCs w:val="28"/>
          <w:lang w:eastAsia="en-US"/>
        </w:rPr>
        <w:t>3. К обязательствам Регулирующего органа в соответствии с настоящим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соглашением относятся:</w:t>
      </w:r>
    </w:p>
    <w:p w:rsidR="00D7005B" w:rsidRDefault="00D7005B" w:rsidP="00D70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расчет необходимой валовой выручки организации с соблюдением параметров регулирования, указанных в </w:t>
      </w:r>
      <w:r w:rsidRPr="00296C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пункте </w:t>
      </w:r>
      <w:r w:rsidRPr="00623886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соглашения;</w:t>
      </w:r>
    </w:p>
    <w:p w:rsidR="00697245" w:rsidRDefault="00697245" w:rsidP="00D70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005B" w:rsidRDefault="00D7005B" w:rsidP="00D70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учет сохранения в распоряжении Регулируемой организации средств в размере экономии расходов на оплату потерь электрической энергии, достигнутой организацией при осуществлении деятельности по оказанию услуг по передаче электрической энергии в результате проведения мероприятий по сокращению объема используемых энергетических ресурсов, и экономии операционных (подконтрольных) расходов;</w:t>
      </w:r>
    </w:p>
    <w:p w:rsidR="00697245" w:rsidRDefault="00697245" w:rsidP="00D70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005B" w:rsidRDefault="00D7005B" w:rsidP="00D70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 компенсация за счет средств бюджета Ленинградской области недополученных доходов организации в случае установления цен (тарифов) на услуги по передаче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организациям, ниже экономически обоснованного уровня, рассчитанного в соответствии с предусмотренным настоящим соглашением порядком индексации этих цен (тарифов);</w:t>
      </w:r>
    </w:p>
    <w:p w:rsidR="00697245" w:rsidRDefault="00697245" w:rsidP="00D70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005B" w:rsidRPr="00501B7F" w:rsidRDefault="00D7005B" w:rsidP="006972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>г) определение единых (котловых) тарифов путем их индексации</w:t>
      </w:r>
      <w:r w:rsidR="00697245"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следующем порядке:</w:t>
      </w:r>
    </w:p>
    <w:p w:rsidR="00F42C10" w:rsidRPr="00501B7F" w:rsidRDefault="00F42C10" w:rsidP="00F42C10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01B7F">
        <w:rPr>
          <w:rFonts w:ascii="Times New Roman" w:hAnsi="Times New Roman" w:cs="Times New Roman"/>
          <w:sz w:val="28"/>
          <w:szCs w:val="24"/>
        </w:rPr>
        <w:t>При индексации единых (котловых) тарифов на услуги по передаче электрической энергии (мощности), поставляемой прочим потребителям, должны соблюдаться следующие условия:</w:t>
      </w:r>
    </w:p>
    <w:p w:rsidR="008B05AB" w:rsidRPr="00501B7F" w:rsidRDefault="00C57C71" w:rsidP="00C57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E061EA"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>диные (котловые) тарифы устанавливаются с календарной разбивкой</w:t>
      </w:r>
      <w:r w:rsidR="00C378AC"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061EA" w:rsidRPr="00501B7F" w:rsidRDefault="008B05AB" w:rsidP="00C57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Единые (котловые) тарифы</w:t>
      </w:r>
      <w:r w:rsidR="00E061EA"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первом полугодии очередного</w:t>
      </w:r>
      <w:r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годового периода регулирования </w:t>
      </w:r>
      <w:r w:rsidR="004B4E4D"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устанавливаются </w:t>
      </w:r>
      <w:r w:rsidR="00E061EA"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уровне соответствующих тарифов во втором полугодии предшествующего годового периода регулирования по </w:t>
      </w:r>
      <w:r w:rsidR="00E061EA"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состоянию на 31 декабря</w:t>
      </w:r>
      <w:r w:rsidR="00C57C71"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E061EA"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иное не установлено актами Правительства Российской Федерации.</w:t>
      </w:r>
    </w:p>
    <w:p w:rsidR="00F42C10" w:rsidRPr="00501B7F" w:rsidRDefault="00C57C71" w:rsidP="00F9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Единые (котловые) тарифы во втором полугодии очередного годового периода регулирования устанавливаются с приростом к соответствующим тарифам первого полугодия очередного годового периода регулирования, определяемым как</w:t>
      </w:r>
      <w:r w:rsidR="005365B3"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35D8B" w:rsidRPr="00501B7F" w:rsidRDefault="002A1626" w:rsidP="00B35D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           РТ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к</m:t>
            </m:r>
          </m:sub>
          <m:sup>
            <m:d>
              <m:dPr>
                <m:ctrlPr>
                  <w:rPr>
                    <w:rFonts w:ascii="Cambria Math" w:eastAsiaTheme="minorHAnsi" w:hAnsi="Cambria Math" w:cs="Times New Roman"/>
                    <w:i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8"/>
                    <w:szCs w:val="28"/>
                    <w:lang w:eastAsia="en-US"/>
                  </w:rPr>
                  <m:t>i</m:t>
                </m:r>
              </m:e>
            </m:d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, 2 пол </m:t>
            </m:r>
          </m:sup>
        </m:sSubSup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=</m:t>
        </m:r>
        <m:sSubSup>
          <m:sSubSup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СЭП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пер</m:t>
            </m:r>
          </m:sub>
          <m:sup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прочие </m:t>
            </m:r>
            <m:d>
              <m:dPr>
                <m:ctrlPr>
                  <w:rPr>
                    <w:rFonts w:ascii="Cambria Math" w:eastAsiaTheme="minorHAnsi" w:hAnsi="Cambria Math" w:cs="Times New Roman"/>
                    <w:i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8"/>
                    <w:szCs w:val="28"/>
                    <w:lang w:val="en-US" w:eastAsia="en-US"/>
                  </w:rPr>
                  <m:t>i</m:t>
                </m:r>
              </m:e>
            </m:d>
          </m:sup>
        </m:sSubSup>
        <m:r>
          <m:rPr>
            <m:sty m:val="p"/>
          </m:rP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+</m:t>
        </m:r>
        <m:r>
          <m:rPr>
            <m:sty m:val="p"/>
          </m:rPr>
          <w:rPr>
            <w:rFonts w:ascii="Cambria Math" w:eastAsiaTheme="minorHAnsi" w:hAnsi="Cambria Math" w:cs="Times New Roman"/>
            <w:sz w:val="28"/>
            <w:szCs w:val="28"/>
            <w:lang w:val="en-US" w:eastAsia="en-US"/>
          </w:rPr>
          <m:t>Y</m:t>
        </m:r>
      </m:oMath>
      <w:r w:rsidR="00C57C71" w:rsidRPr="00501B7F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C57C71" w:rsidRPr="00501B7F" w:rsidRDefault="002A1626" w:rsidP="00C57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РТ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к</m:t>
            </m:r>
          </m:sub>
          <m:sup>
            <m:d>
              <m:dPr>
                <m:ctrlPr>
                  <w:rPr>
                    <w:rFonts w:ascii="Cambria Math" w:eastAsiaTheme="minorHAnsi" w:hAnsi="Cambria Math" w:cs="Times New Roman"/>
                    <w:i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8"/>
                    <w:szCs w:val="28"/>
                    <w:lang w:eastAsia="en-US"/>
                  </w:rPr>
                  <m:t>i</m:t>
                </m:r>
              </m:e>
            </m:d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, 2 пол </m:t>
            </m:r>
          </m:sup>
        </m:sSubSup>
      </m:oMath>
      <w:r w:rsidR="00C57C71"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="004B4E4D"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темп роста ставок единых (котловых) тарифов на услуги по передаче электроэнергии (ставок на содержание электрических сетей, </w:t>
      </w:r>
      <w:proofErr w:type="spellStart"/>
      <w:r w:rsidR="004B4E4D"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одноставочных</w:t>
      </w:r>
      <w:proofErr w:type="spellEnd"/>
      <w:r w:rsidR="004B4E4D"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тарифов, тарифов для населения и приравненных к нему категорий потребителей) на уровнях напряжения ВН, СН1, СН2, НН </w:t>
      </w:r>
      <w:r w:rsidR="00C57C71"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>во втором полугодии i-</w:t>
      </w:r>
      <w:proofErr w:type="spellStart"/>
      <w:r w:rsidR="00C57C71"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proofErr w:type="spellEnd"/>
      <w:r w:rsidR="00C57C71"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периода регулирования; </w:t>
      </w:r>
    </w:p>
    <w:p w:rsidR="005365B3" w:rsidRPr="00501B7F" w:rsidRDefault="002A1626" w:rsidP="005365B3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m:oMath>
        <m:sSubSup>
          <m:sSubSupPr>
            <m:ctrlPr>
              <w:rPr>
                <w:rFonts w:ascii="Cambria Math" w:hAnsi="Cambria Math" w:cs="Cambria Math"/>
                <w:i/>
                <w:sz w:val="28"/>
                <w:szCs w:val="24"/>
              </w:rPr>
            </m:ctrlPr>
          </m:sSubSupPr>
          <m:e>
            <m:r>
              <w:rPr>
                <w:rFonts w:ascii="Cambria Math" w:hAnsi="Cambria Math" w:cs="Cambria Math"/>
                <w:sz w:val="28"/>
                <w:szCs w:val="24"/>
              </w:rPr>
              <m:t>СЭП</m:t>
            </m:r>
          </m:e>
          <m:sub>
            <m:r>
              <w:rPr>
                <w:rFonts w:ascii="Cambria Math" w:hAnsi="Cambria Math" w:cs="Cambria Math"/>
                <w:sz w:val="28"/>
                <w:szCs w:val="24"/>
              </w:rPr>
              <m:t>пер</m:t>
            </m:r>
          </m:sub>
          <m:sup>
            <m:r>
              <w:rPr>
                <w:rFonts w:ascii="Cambria Math" w:hAnsi="Cambria Math" w:cs="Cambria Math"/>
                <w:sz w:val="28"/>
                <w:szCs w:val="24"/>
              </w:rPr>
              <m:t>прочие (</m:t>
            </m:r>
            <m:r>
              <w:rPr>
                <w:rFonts w:ascii="Cambria Math" w:hAnsi="Cambria Math" w:cs="Cambria Math"/>
                <w:sz w:val="28"/>
                <w:szCs w:val="24"/>
                <w:lang w:val="en-US"/>
              </w:rPr>
              <m:t>i</m:t>
            </m:r>
            <m:r>
              <w:rPr>
                <w:rFonts w:ascii="Cambria Math" w:hAnsi="Cambria Math" w:cs="Cambria Math"/>
                <w:sz w:val="28"/>
                <w:szCs w:val="24"/>
              </w:rPr>
              <m:t>)</m:t>
            </m:r>
          </m:sup>
        </m:sSubSup>
      </m:oMath>
      <w:r w:rsidR="005365B3" w:rsidRPr="00501B7F">
        <w:rPr>
          <w:rFonts w:ascii="Times New Roman" w:hAnsi="Times New Roman" w:cs="Times New Roman"/>
          <w:sz w:val="28"/>
          <w:szCs w:val="24"/>
        </w:rPr>
        <w:t xml:space="preserve"> – актуальный на момент принятия тарифного решения на год </w:t>
      </w:r>
      <w:proofErr w:type="spellStart"/>
      <w:r w:rsidR="005365B3" w:rsidRPr="00501B7F">
        <w:rPr>
          <w:rFonts w:ascii="Times New Roman" w:hAnsi="Times New Roman" w:cs="Times New Roman"/>
          <w:sz w:val="28"/>
          <w:szCs w:val="24"/>
          <w:lang w:val="en-US"/>
        </w:rPr>
        <w:t>i</w:t>
      </w:r>
      <w:proofErr w:type="spellEnd"/>
      <w:r w:rsidR="005365B3" w:rsidRPr="00501B7F">
        <w:rPr>
          <w:rFonts w:ascii="Times New Roman" w:hAnsi="Times New Roman" w:cs="Times New Roman"/>
          <w:sz w:val="28"/>
          <w:szCs w:val="24"/>
        </w:rPr>
        <w:t xml:space="preserve"> прогноз роста единых (котловых) тарифов на услуги по передаче электрической энергии (мощности), поставляемой прочим потребителям, публикуемый Министерством экономического развития Российской Федерации (при отсутствии этого прогноза в отношении прочих потребителей используется индекс потребительских цен), %;</w:t>
      </w:r>
    </w:p>
    <w:p w:rsidR="00C57C71" w:rsidRPr="00501B7F" w:rsidRDefault="00C57C71" w:rsidP="00C57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1B7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Y</w:t>
      </w:r>
      <w:r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="004F7101"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значение дополнительного темпа роста ставок единых (котловых) тарифов на услуги по передаче электроэнергии (ставок на содержание электрических сетей, одноставочных тарифов, тарифов для населения и приравненных к нему категорий потребителей) на уровнях напряжения ВН, СН1, СН2, НН во втором полугодии i-</w:t>
      </w:r>
      <w:proofErr w:type="spellStart"/>
      <w:r w:rsidR="004F7101"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proofErr w:type="spellEnd"/>
      <w:r w:rsidR="004F7101"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периода регулирования</w:t>
      </w:r>
      <w:r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:rsidR="00C57C71" w:rsidRPr="00501B7F" w:rsidRDefault="00C57C71" w:rsidP="00C57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2025 год: </w:t>
      </w:r>
      <w:r w:rsidRPr="00501B7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Y</w:t>
      </w:r>
      <m:oMath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=</m:t>
        </m:r>
      </m:oMath>
      <w:r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365B3"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>5,0</w:t>
      </w:r>
      <w:r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%;</w:t>
      </w:r>
    </w:p>
    <w:p w:rsidR="00C57C71" w:rsidRPr="00501B7F" w:rsidRDefault="00C57C71" w:rsidP="00C57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2026 год: </w:t>
      </w:r>
      <w:r w:rsidRPr="00501B7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Y</w:t>
      </w:r>
      <m:oMath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=</m:t>
        </m:r>
      </m:oMath>
      <w:r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365B3"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>5,</w:t>
      </w:r>
      <w:r w:rsidR="004B4E4D"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%;</w:t>
      </w:r>
    </w:p>
    <w:p w:rsidR="00C57C71" w:rsidRPr="00501B7F" w:rsidRDefault="00C57C71" w:rsidP="00C57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2027 год: </w:t>
      </w:r>
      <w:r w:rsidRPr="00501B7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Y</w:t>
      </w:r>
      <m:oMath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=</m:t>
        </m:r>
      </m:oMath>
      <w:r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5,</w:t>
      </w:r>
      <w:r w:rsidR="000545CF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%;</w:t>
      </w:r>
    </w:p>
    <w:p w:rsidR="00C57C71" w:rsidRPr="00501B7F" w:rsidRDefault="00C57C71" w:rsidP="00C57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2028 год: </w:t>
      </w:r>
      <w:r w:rsidRPr="00501B7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Y</w:t>
      </w:r>
      <m:oMath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=</m:t>
        </m:r>
      </m:oMath>
      <w:r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545CF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545CF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501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%.</w:t>
      </w:r>
    </w:p>
    <w:p w:rsidR="005365B3" w:rsidRPr="004B4E4D" w:rsidRDefault="005365B3" w:rsidP="005365B3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F95167" w:rsidRPr="00507EC6" w:rsidRDefault="00C2637A" w:rsidP="00F951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период действия настоящего с</w:t>
      </w:r>
      <w:r w:rsidR="00F95167" w:rsidRPr="00507EC6">
        <w:rPr>
          <w:rFonts w:ascii="Times New Roman" w:eastAsia="Times New Roman" w:hAnsi="Times New Roman" w:cs="Times New Roman"/>
          <w:sz w:val="28"/>
          <w:szCs w:val="24"/>
        </w:rPr>
        <w:t xml:space="preserve">оглашения Регулирующий орган устанавливает ставки единых (котловых) тарифов на услуги по передаче электроэнергии с дифференциацией по группам и категориям потребителей, уровням напряжения, по календарным периодам в соответствии с теми нормативными правовыми актами в отношении расчета указанных тарифов, которые будут действовать на момент принятия соответствующего тарифного решения. </w:t>
      </w:r>
    </w:p>
    <w:p w:rsidR="00914E11" w:rsidRDefault="00F95167" w:rsidP="00B705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EC6">
        <w:rPr>
          <w:rFonts w:ascii="Times New Roman" w:eastAsia="Times New Roman" w:hAnsi="Times New Roman" w:cs="Times New Roman"/>
          <w:sz w:val="28"/>
          <w:szCs w:val="24"/>
        </w:rPr>
        <w:t xml:space="preserve">Выручка, рассчитанная путем умножения указанных ставок единых (котловых) тарифов и плановых объемов потребления электроэнергии и мощности соответствующих групп и категорий потребителей Ленинградской области, уменьшенная на величину необходимой валовой выручки прочих территориальных сетевых организаций региона и стоимости потерь в электрических сетях территориальных сетевых организаций, должна соответствовать необходимой валовой выручке Регулируемой организации на </w:t>
      </w:r>
      <w:r w:rsidRPr="00507EC6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содержание </w:t>
      </w:r>
      <w:r w:rsidRPr="00507EC6">
        <w:rPr>
          <w:rFonts w:ascii="Times New Roman" w:eastAsia="Times New Roman" w:hAnsi="Times New Roman" w:cs="Times New Roman"/>
          <w:sz w:val="28"/>
          <w:szCs w:val="28"/>
        </w:rPr>
        <w:t xml:space="preserve">сетей, определенной на очередной период регулирования в соответствии с </w:t>
      </w:r>
      <w:r w:rsidR="00C2637A">
        <w:rPr>
          <w:rFonts w:ascii="Times New Roman" w:eastAsia="Times New Roman" w:hAnsi="Times New Roman" w:cs="Times New Roman"/>
          <w:sz w:val="28"/>
          <w:szCs w:val="28"/>
        </w:rPr>
        <w:t>условиями настоящего соглашения;</w:t>
      </w:r>
    </w:p>
    <w:p w:rsidR="00B70575" w:rsidRPr="00B70575" w:rsidRDefault="00B70575" w:rsidP="00B705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05B" w:rsidRPr="00096E11" w:rsidRDefault="00D7005B" w:rsidP="00D70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E35">
        <w:rPr>
          <w:rFonts w:ascii="Times New Roman" w:hAnsi="Times New Roman"/>
          <w:sz w:val="28"/>
          <w:szCs w:val="28"/>
        </w:rPr>
        <w:t xml:space="preserve">д)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3E35">
        <w:rPr>
          <w:rFonts w:ascii="Times New Roman" w:eastAsia="Times New Roman" w:hAnsi="Times New Roman" w:cs="Times New Roman"/>
          <w:sz w:val="28"/>
          <w:szCs w:val="28"/>
        </w:rPr>
        <w:t>чет в течение срока действия настоящего соглашения результатов</w:t>
      </w:r>
      <w:r w:rsidRPr="00096E1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Регулируемой организации </w:t>
      </w:r>
      <w:r w:rsidRPr="00FD1F3B">
        <w:rPr>
          <w:rFonts w:ascii="Times New Roman" w:eastAsia="Times New Roman" w:hAnsi="Times New Roman" w:cs="Times New Roman"/>
          <w:sz w:val="28"/>
          <w:szCs w:val="28"/>
        </w:rPr>
        <w:t xml:space="preserve">до перехода к государственному регулированию цен (тарифов) на услуги по передаче электрической энергии на основе настоящего соглашения, </w:t>
      </w:r>
      <w:r w:rsidRPr="00FD1F3B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том числе в</w:t>
      </w:r>
      <w:r w:rsidRPr="00096E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следующем порядке</w:t>
      </w:r>
      <w:r w:rsidRPr="00096E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005B" w:rsidRPr="00465B68" w:rsidRDefault="00D7005B" w:rsidP="00D70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5B68">
        <w:rPr>
          <w:rFonts w:ascii="Times New Roman" w:hAnsi="Times New Roman"/>
          <w:color w:val="000000" w:themeColor="text1"/>
          <w:sz w:val="28"/>
          <w:szCs w:val="28"/>
        </w:rPr>
        <w:t xml:space="preserve">Величина изменения необходимой валовой выручки, производимого в целях сглаживания роста тарифов («сглаживание») за период с 2011 по 2020 год (включительно) </w:t>
      </w:r>
      <w:r w:rsidRPr="00465B68">
        <w:rPr>
          <w:rFonts w:ascii="Times New Roman" w:hAnsi="Times New Roman"/>
          <w:color w:val="000000" w:themeColor="text1"/>
          <w:sz w:val="28"/>
          <w:szCs w:val="28"/>
          <w:lang w:bidi="ru-RU"/>
        </w:rPr>
        <w:t>с учетом возврата мерами тарифного регулирования части недополученных доходов</w:t>
      </w:r>
      <w:r w:rsidRPr="00465B68">
        <w:rPr>
          <w:rFonts w:ascii="Times New Roman" w:hAnsi="Times New Roman"/>
          <w:color w:val="000000" w:themeColor="text1"/>
          <w:sz w:val="28"/>
          <w:szCs w:val="28"/>
        </w:rPr>
        <w:t xml:space="preserve"> рассчитана в соответствии с Протоколом и определена </w:t>
      </w:r>
      <w:r w:rsidRPr="00465B68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в </w:t>
      </w:r>
      <w:r w:rsidRPr="00465B68">
        <w:rPr>
          <w:rFonts w:ascii="Times New Roman" w:hAnsi="Times New Roman"/>
          <w:color w:val="000000" w:themeColor="text1"/>
          <w:sz w:val="28"/>
          <w:szCs w:val="28"/>
        </w:rPr>
        <w:t>Приложении № 1</w:t>
      </w:r>
      <w:r w:rsidR="00C2637A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к настоящему с</w:t>
      </w:r>
      <w:r w:rsidRPr="00465B68">
        <w:rPr>
          <w:rFonts w:ascii="Times New Roman" w:hAnsi="Times New Roman"/>
          <w:color w:val="000000" w:themeColor="text1"/>
          <w:sz w:val="28"/>
          <w:szCs w:val="28"/>
          <w:lang w:bidi="ru-RU"/>
        </w:rPr>
        <w:t>оглашению</w:t>
      </w:r>
      <w:r w:rsidRPr="00465B6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65B68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</w:p>
    <w:p w:rsidR="00D7005B" w:rsidRPr="00465B68" w:rsidRDefault="00D7005B" w:rsidP="00D700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Возврат </w:t>
      </w:r>
      <w:r w:rsidRPr="00465B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«сглаживания» за период с 2011 по 2020 годы (включительно) </w:t>
      </w:r>
      <w:r w:rsidRPr="00465B6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 срок и на условиях, устано</w:t>
      </w:r>
      <w:r w:rsidR="00C2637A">
        <w:rPr>
          <w:rFonts w:ascii="Times New Roman" w:hAnsi="Times New Roman" w:cs="Times New Roman"/>
          <w:color w:val="000000" w:themeColor="text1"/>
          <w:sz w:val="28"/>
          <w:szCs w:val="28"/>
        </w:rPr>
        <w:t>вленных Протоколом и настоящим с</w:t>
      </w:r>
      <w:r w:rsidRPr="00465B68">
        <w:rPr>
          <w:rFonts w:ascii="Times New Roman" w:hAnsi="Times New Roman" w:cs="Times New Roman"/>
          <w:color w:val="000000" w:themeColor="text1"/>
          <w:sz w:val="28"/>
          <w:szCs w:val="28"/>
        </w:rPr>
        <w:t>оглашением в соответствии с графиком (приложение № 2</w:t>
      </w:r>
      <w:r w:rsidRPr="00465B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настоящему соглашению</w:t>
      </w:r>
      <w:r w:rsidRPr="00465B6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65B68">
        <w:rPr>
          <w:rFonts w:ascii="Times New Roman" w:hAnsi="Times New Roman"/>
          <w:color w:val="000000" w:themeColor="text1"/>
          <w:sz w:val="28"/>
          <w:szCs w:val="28"/>
        </w:rPr>
        <w:t xml:space="preserve"> путем включения денежных средств в необходимую валовую выручку Регулируемой организации, определяемую для целей расчета тарифов на услуги по передаче электрической энергии</w:t>
      </w:r>
      <w:r w:rsidRPr="00465B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D0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D09A7" w:rsidRDefault="00D7005B" w:rsidP="00D700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5B68">
        <w:rPr>
          <w:rFonts w:ascii="Times New Roman" w:hAnsi="Times New Roman"/>
          <w:color w:val="000000" w:themeColor="text1"/>
          <w:sz w:val="28"/>
          <w:szCs w:val="28"/>
        </w:rPr>
        <w:t>Срок возврата «сглаживания» составляет 7 лет (01.01.2022-31.12.2028) с учетом ежегодной индексации на индекс потребительских цен (ИПЦ).</w:t>
      </w:r>
      <w:r w:rsidR="00E05EF3">
        <w:rPr>
          <w:rFonts w:ascii="Times New Roman" w:hAnsi="Times New Roman"/>
          <w:color w:val="000000" w:themeColor="text1"/>
          <w:sz w:val="28"/>
          <w:szCs w:val="28"/>
        </w:rPr>
        <w:t xml:space="preserve"> ИПЦ нач</w:t>
      </w:r>
      <w:r w:rsidR="00C2637A">
        <w:rPr>
          <w:rFonts w:ascii="Times New Roman" w:hAnsi="Times New Roman"/>
          <w:color w:val="000000" w:themeColor="text1"/>
          <w:sz w:val="28"/>
          <w:szCs w:val="28"/>
        </w:rPr>
        <w:t>исляется на сумму остатка долга;</w:t>
      </w:r>
      <w:r w:rsidRPr="00465B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35219" w:rsidRDefault="00C35219" w:rsidP="00D700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7005B" w:rsidRPr="00CC6B31" w:rsidRDefault="00D7005B" w:rsidP="00D700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5B68">
        <w:rPr>
          <w:rFonts w:ascii="Times New Roman" w:hAnsi="Times New Roman"/>
          <w:color w:val="000000" w:themeColor="text1"/>
          <w:sz w:val="28"/>
          <w:szCs w:val="28"/>
        </w:rPr>
        <w:t>е)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Pr="00CC6B31">
        <w:rPr>
          <w:rFonts w:ascii="Times New Roman" w:hAnsi="Times New Roman"/>
          <w:color w:val="000000" w:themeColor="text1"/>
          <w:sz w:val="28"/>
          <w:szCs w:val="28"/>
        </w:rPr>
        <w:t xml:space="preserve">чет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течение срока действия настоящего соглашения </w:t>
      </w:r>
      <w:r w:rsidRPr="00CC6B31">
        <w:rPr>
          <w:rFonts w:ascii="Times New Roman" w:hAnsi="Times New Roman"/>
          <w:color w:val="000000" w:themeColor="text1"/>
          <w:sz w:val="28"/>
          <w:szCs w:val="28"/>
        </w:rPr>
        <w:t>результатов деятельности Регулируемой организации, полученных в течение срока действия настоящего соглашения, в следующем порядке:</w:t>
      </w:r>
    </w:p>
    <w:p w:rsidR="00E40D1F" w:rsidRPr="00507EC6" w:rsidRDefault="00E40D1F" w:rsidP="00E40D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EC6">
        <w:rPr>
          <w:rFonts w:ascii="Times New Roman" w:hAnsi="Times New Roman" w:cs="Times New Roman"/>
          <w:sz w:val="28"/>
          <w:szCs w:val="28"/>
        </w:rPr>
        <w:t>Величина экономически обоснованных расходов Регулируемой организаций, не учтенных при установлении регулируемых цен (тарифов) на тот период регулирования, в котором они понесены, или доходов, недополученных при осуществлении регулируемой деятельности в этот период регулирования, экономически необоснованных доходов и расходов Регулируемой организации определяется Регулирующим органом в соответствии с действующим на момент принятия соответствующего решения законодательством в области государственного регулирования тарифов методом долгосрочной индексации необходимой валовой выручки.</w:t>
      </w:r>
    </w:p>
    <w:p w:rsidR="0085517C" w:rsidRDefault="00EA1C3D" w:rsidP="00D70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87E">
        <w:rPr>
          <w:rFonts w:ascii="Times New Roman" w:eastAsia="Times New Roman" w:hAnsi="Times New Roman" w:cs="Times New Roman"/>
          <w:sz w:val="28"/>
          <w:szCs w:val="28"/>
        </w:rPr>
        <w:t xml:space="preserve">Компенсация расходов Регулируемой организации, признанных экономически обоснованными по предписаниям и решениям ФАС России в результате досудебного урегулирования споров, вынесенным в течение срока действия настоящего соглашения и не оспоренным в судебном порядке или признанным законными вступившими в силу судебными актами, учитывается </w:t>
      </w:r>
      <w:r w:rsidR="00C2637A">
        <w:rPr>
          <w:rFonts w:ascii="Times New Roman" w:eastAsia="Times New Roman" w:hAnsi="Times New Roman" w:cs="Times New Roman"/>
          <w:sz w:val="28"/>
          <w:szCs w:val="28"/>
        </w:rPr>
        <w:t xml:space="preserve">Регулирующим органом </w:t>
      </w:r>
      <w:r w:rsidRPr="00DF687E">
        <w:rPr>
          <w:rFonts w:ascii="Times New Roman" w:eastAsia="Times New Roman" w:hAnsi="Times New Roman" w:cs="Times New Roman"/>
          <w:sz w:val="28"/>
          <w:szCs w:val="28"/>
        </w:rPr>
        <w:t xml:space="preserve">в необходимой валовой выручке Регулируемой организации не позднее года, следующего за годом принятия решения или предписания ФАС России в соответствии с </w:t>
      </w:r>
      <w:r w:rsidRPr="00DF687E">
        <w:rPr>
          <w:rFonts w:ascii="Times New Roman" w:hAnsi="Times New Roman"/>
          <w:sz w:val="28"/>
          <w:szCs w:val="28"/>
        </w:rPr>
        <w:t>Основами ценообразования в области регулируемых цен (тарифов) в электроэнергетике, утвержденными постановлением Правительства Российской Федерации от 29.12.2011 № 1178</w:t>
      </w:r>
      <w:r w:rsidRPr="00DF6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942" w:rsidRPr="00A46875">
        <w:rPr>
          <w:rFonts w:ascii="Times New Roman" w:hAnsi="Times New Roman" w:cs="Times New Roman"/>
          <w:sz w:val="28"/>
          <w:szCs w:val="28"/>
        </w:rPr>
        <w:lastRenderedPageBreak/>
        <w:t>«О ценообразовании в области регулируемых цен (тарифов) в электроэнергетике»</w:t>
      </w:r>
      <w:r w:rsidR="006F7942">
        <w:rPr>
          <w:rFonts w:ascii="Times New Roman" w:hAnsi="Times New Roman" w:cs="Times New Roman"/>
          <w:sz w:val="28"/>
          <w:szCs w:val="28"/>
        </w:rPr>
        <w:t>.</w:t>
      </w:r>
      <w:r w:rsidR="006F7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F7942" w:rsidRDefault="006F7942" w:rsidP="00D70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Регулирующий орган надлежащим образом исполняет иные предписания и решения ФАС России, если они не оспорены в судебном порядке или признаны законными вступившими в силу судебными актами. </w:t>
      </w:r>
    </w:p>
    <w:p w:rsidR="0042241F" w:rsidRPr="00465B68" w:rsidRDefault="0042241F" w:rsidP="006F7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C59BF" w:rsidRDefault="00D7005B" w:rsidP="006C59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="006C59BF">
        <w:rPr>
          <w:rFonts w:ascii="Times New Roman" w:hAnsi="Times New Roman" w:cs="Times New Roman"/>
          <w:sz w:val="28"/>
        </w:rPr>
        <w:t>у</w:t>
      </w:r>
      <w:r w:rsidR="006C59BF" w:rsidRPr="006C59BF">
        <w:rPr>
          <w:rFonts w:ascii="Times New Roman" w:hAnsi="Times New Roman" w:cs="Times New Roman"/>
          <w:sz w:val="28"/>
        </w:rPr>
        <w:t>чет по истечению срока действия настоящего соглашения результатов деятельности Регулируемой организации, полученных в течение срока действия настоящего соглашения, в соответствии с действующим на момент принятия соответствующего тарифного решения законодательством в области государственного регулирования тарифов методом долгосрочной индексации необходимой валовой выручки</w:t>
      </w:r>
      <w:r w:rsidR="006C59BF">
        <w:rPr>
          <w:rFonts w:ascii="Times New Roman" w:hAnsi="Times New Roman" w:cs="Times New Roman"/>
          <w:sz w:val="28"/>
        </w:rPr>
        <w:t>;</w:t>
      </w:r>
    </w:p>
    <w:p w:rsidR="009D09A7" w:rsidRPr="006C59BF" w:rsidRDefault="009D09A7" w:rsidP="006C59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7005B" w:rsidRDefault="00D7005B" w:rsidP="006C59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з)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A46875">
        <w:rPr>
          <w:rFonts w:ascii="Times New Roman" w:eastAsiaTheme="minorHAnsi" w:hAnsi="Times New Roman" w:cs="Times New Roman"/>
          <w:sz w:val="28"/>
          <w:szCs w:val="28"/>
          <w:lang w:eastAsia="en-US"/>
        </w:rPr>
        <w:t>чет условий настоящего соглашения при направлении в федеральный орган исполнительной власти в области регулирования тарифов предложений об установлении предельных (минимальных и (или) максимальных) уровней цен (тарифов) на услуги по передаче электрической энергии по электрическим сетям, принадлежащим на праве собственности или ином законном основании терри</w:t>
      </w:r>
      <w:r w:rsidR="006C59BF">
        <w:rPr>
          <w:rFonts w:ascii="Times New Roman" w:eastAsiaTheme="minorHAnsi" w:hAnsi="Times New Roman" w:cs="Times New Roman"/>
          <w:sz w:val="28"/>
          <w:szCs w:val="28"/>
          <w:lang w:eastAsia="en-US"/>
        </w:rPr>
        <w:t>ториальным сетевым организациям;</w:t>
      </w:r>
    </w:p>
    <w:p w:rsidR="009D09A7" w:rsidRPr="00A46875" w:rsidRDefault="009D09A7" w:rsidP="006C59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005B" w:rsidRDefault="00191154" w:rsidP="009D0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DB13F1">
        <w:rPr>
          <w:rFonts w:ascii="Times New Roman" w:hAnsi="Times New Roman"/>
          <w:sz w:val="28"/>
          <w:szCs w:val="28"/>
        </w:rPr>
        <w:t xml:space="preserve">) </w:t>
      </w:r>
      <w:r w:rsidR="00D7005B">
        <w:rPr>
          <w:rFonts w:ascii="Times New Roman" w:hAnsi="Times New Roman"/>
          <w:sz w:val="28"/>
          <w:szCs w:val="28"/>
        </w:rPr>
        <w:t>и</w:t>
      </w:r>
      <w:r w:rsidR="00D7005B" w:rsidRPr="005C3E35">
        <w:rPr>
          <w:rFonts w:ascii="Times New Roman" w:hAnsi="Times New Roman"/>
          <w:sz w:val="28"/>
          <w:szCs w:val="28"/>
        </w:rPr>
        <w:t xml:space="preserve">сполнение пункта 5 Перечня Поручений Президента Российской Федерации В.В. Путина от 23.06.2015 № Пр-1235 и </w:t>
      </w:r>
      <w:r w:rsidR="00D7005B">
        <w:rPr>
          <w:rFonts w:ascii="Times New Roman" w:hAnsi="Times New Roman"/>
          <w:sz w:val="28"/>
          <w:szCs w:val="28"/>
        </w:rPr>
        <w:t xml:space="preserve">поручений </w:t>
      </w:r>
      <w:r w:rsidR="00D7005B" w:rsidRPr="005C3E35">
        <w:rPr>
          <w:rFonts w:ascii="Times New Roman" w:hAnsi="Times New Roman"/>
          <w:sz w:val="28"/>
          <w:szCs w:val="28"/>
        </w:rPr>
        <w:t>Президента Российской Федерации В.В. Путина</w:t>
      </w:r>
      <w:r w:rsidR="00D7005B" w:rsidRPr="005C3E35">
        <w:rPr>
          <w:rFonts w:ascii="Times New Roman" w:hAnsi="Times New Roman"/>
          <w:color w:val="000000"/>
          <w:spacing w:val="-2"/>
          <w:sz w:val="28"/>
          <w:szCs w:val="28"/>
        </w:rPr>
        <w:t xml:space="preserve"> от 22.11.2022 № Пр-2230, от 23.04.2024 №Пр-804</w:t>
      </w:r>
      <w:r w:rsidR="00D7005B" w:rsidRPr="005C3E35">
        <w:rPr>
          <w:rFonts w:ascii="Times New Roman" w:hAnsi="Times New Roman"/>
          <w:sz w:val="28"/>
          <w:szCs w:val="28"/>
        </w:rPr>
        <w:t xml:space="preserve"> по полному возврату накопленных выпадающих доходов и переносу тарифной выручки (сглаживания);</w:t>
      </w:r>
    </w:p>
    <w:p w:rsidR="009D09A7" w:rsidRDefault="009D09A7" w:rsidP="009D0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09A7" w:rsidRDefault="00191154" w:rsidP="00A817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D7005B">
        <w:rPr>
          <w:rFonts w:ascii="Times New Roman" w:hAnsi="Times New Roman"/>
          <w:sz w:val="28"/>
          <w:szCs w:val="28"/>
        </w:rPr>
        <w:t>)</w:t>
      </w:r>
      <w:r w:rsidR="00D7005B" w:rsidRPr="00DA391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7005B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D7005B" w:rsidRPr="005C3E35">
        <w:rPr>
          <w:rFonts w:ascii="Times New Roman" w:hAnsi="Times New Roman" w:cs="Times New Roman"/>
          <w:sz w:val="28"/>
          <w:szCs w:val="28"/>
          <w:lang w:eastAsia="en-US"/>
        </w:rPr>
        <w:t>существление государственного регулирования тарифов в отношении Регулируемой организации в порядке, установленном Основами ценообразования в области регулируемых цен (тарифов) в электроэнергетике и</w:t>
      </w:r>
      <w:r w:rsidR="00D7005B" w:rsidRPr="005C3E35">
        <w:rPr>
          <w:rFonts w:ascii="Times New Roman" w:hAnsi="Times New Roman"/>
          <w:sz w:val="28"/>
          <w:szCs w:val="28"/>
        </w:rPr>
        <w:t xml:space="preserve"> Правилами государственного регулирования (пересмотра, применения) цен (тарифов) в электроэнергетике,</w:t>
      </w:r>
      <w:r w:rsidR="00D7005B" w:rsidRPr="005C3E35">
        <w:rPr>
          <w:rFonts w:ascii="Times New Roman" w:hAnsi="Times New Roman" w:cs="Times New Roman"/>
          <w:sz w:val="28"/>
          <w:szCs w:val="28"/>
          <w:lang w:eastAsia="en-US"/>
        </w:rPr>
        <w:t xml:space="preserve"> утвержденными постановлением Правительства Российской Федерации от 29.12.2011 № 1178</w:t>
      </w:r>
      <w:r w:rsidR="006F794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F7942" w:rsidRPr="006F7942">
        <w:rPr>
          <w:rFonts w:ascii="Times New Roman" w:hAnsi="Times New Roman" w:cs="Times New Roman"/>
          <w:sz w:val="28"/>
          <w:szCs w:val="28"/>
          <w:lang w:eastAsia="en-US"/>
        </w:rPr>
        <w:t>«О ценообразовании в области регулируемых цен</w:t>
      </w:r>
      <w:r w:rsidR="006F7942">
        <w:rPr>
          <w:rFonts w:ascii="Times New Roman" w:hAnsi="Times New Roman" w:cs="Times New Roman"/>
          <w:sz w:val="28"/>
          <w:szCs w:val="28"/>
          <w:lang w:eastAsia="en-US"/>
        </w:rPr>
        <w:t xml:space="preserve"> (тарифов) в электроэнергетике»</w:t>
      </w:r>
      <w:r w:rsidR="00D7005B" w:rsidRPr="005C3E35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D7005B" w:rsidRPr="005C3E35">
        <w:rPr>
          <w:rFonts w:ascii="Times New Roman" w:hAnsi="Times New Roman" w:cs="Times New Roman"/>
          <w:sz w:val="28"/>
        </w:rPr>
        <w:t xml:space="preserve"> методом долгосрочной индексации необходимой валовой выручки</w:t>
      </w:r>
      <w:r w:rsidR="00D7005B" w:rsidRPr="005C3E35">
        <w:rPr>
          <w:rFonts w:ascii="Times New Roman" w:hAnsi="Times New Roman" w:cs="Times New Roman"/>
          <w:sz w:val="28"/>
          <w:szCs w:val="28"/>
          <w:lang w:eastAsia="en-US"/>
        </w:rPr>
        <w:t>, в том числе д</w:t>
      </w:r>
      <w:r w:rsidR="00D7005B" w:rsidRPr="005C3E35">
        <w:rPr>
          <w:rFonts w:ascii="Times New Roman" w:hAnsi="Times New Roman" w:cs="Times New Roman"/>
          <w:sz w:val="28"/>
        </w:rPr>
        <w:t>о 2025 года – на основе установленных долгосрочных параметров регулирования на 2021-2025 гг., с 2026 года – на основе долгосрочных параметров регулирования, определяемых в соответствии с законодательством о тарифном регулировании</w:t>
      </w:r>
      <w:r w:rsidR="00D7005B">
        <w:rPr>
          <w:rFonts w:ascii="Times New Roman" w:hAnsi="Times New Roman" w:cs="Times New Roman"/>
          <w:sz w:val="28"/>
        </w:rPr>
        <w:t xml:space="preserve">, </w:t>
      </w:r>
      <w:r w:rsidR="00D7005B" w:rsidRPr="00C35219">
        <w:rPr>
          <w:rFonts w:ascii="Times New Roman" w:hAnsi="Times New Roman" w:cs="Times New Roman"/>
          <w:sz w:val="28"/>
        </w:rPr>
        <w:t>с учетом особенностей, предусмотренных условиями настоящего соглашения</w:t>
      </w:r>
      <w:r w:rsidR="006F7942">
        <w:rPr>
          <w:rFonts w:ascii="Times New Roman" w:hAnsi="Times New Roman" w:cs="Times New Roman"/>
          <w:sz w:val="28"/>
        </w:rPr>
        <w:t>;</w:t>
      </w:r>
      <w:r w:rsidR="0024360A">
        <w:rPr>
          <w:rFonts w:ascii="Times New Roman" w:hAnsi="Times New Roman" w:cs="Times New Roman"/>
          <w:sz w:val="28"/>
        </w:rPr>
        <w:t xml:space="preserve"> </w:t>
      </w:r>
    </w:p>
    <w:p w:rsidR="00C2637A" w:rsidRDefault="00C2637A" w:rsidP="00A817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97245" w:rsidRPr="00697245" w:rsidRDefault="00191154" w:rsidP="006972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D7005B">
        <w:rPr>
          <w:rFonts w:ascii="Times New Roman" w:hAnsi="Times New Roman"/>
          <w:sz w:val="28"/>
          <w:szCs w:val="28"/>
        </w:rPr>
        <w:t xml:space="preserve">) </w:t>
      </w:r>
      <w:r w:rsidR="00697245">
        <w:rPr>
          <w:rFonts w:ascii="Times New Roman" w:hAnsi="Times New Roman"/>
          <w:sz w:val="28"/>
          <w:szCs w:val="28"/>
        </w:rPr>
        <w:t>п</w:t>
      </w:r>
      <w:r w:rsidR="00697245" w:rsidRPr="00697245">
        <w:rPr>
          <w:rFonts w:ascii="Times New Roman" w:hAnsi="Times New Roman"/>
          <w:sz w:val="28"/>
          <w:szCs w:val="28"/>
        </w:rPr>
        <w:t>рименение Регулирующим органом в теч</w:t>
      </w:r>
      <w:r w:rsidR="00C2637A">
        <w:rPr>
          <w:rFonts w:ascii="Times New Roman" w:hAnsi="Times New Roman"/>
          <w:sz w:val="28"/>
          <w:szCs w:val="28"/>
        </w:rPr>
        <w:t>ение срока действия настоящего с</w:t>
      </w:r>
      <w:r w:rsidR="00697245" w:rsidRPr="00697245">
        <w:rPr>
          <w:rFonts w:ascii="Times New Roman" w:hAnsi="Times New Roman"/>
          <w:sz w:val="28"/>
          <w:szCs w:val="28"/>
        </w:rPr>
        <w:t xml:space="preserve">оглашения при формировании тарифов всех территориальных сетевых организаций единого подхода при учете в необходимой валовой </w:t>
      </w:r>
      <w:r w:rsidR="00697245" w:rsidRPr="00697245">
        <w:rPr>
          <w:rFonts w:ascii="Times New Roman" w:hAnsi="Times New Roman"/>
          <w:sz w:val="28"/>
          <w:szCs w:val="28"/>
        </w:rPr>
        <w:lastRenderedPageBreak/>
        <w:t>выручке источников возмещения инвестиционных затрат по фина</w:t>
      </w:r>
      <w:r w:rsidR="00F101E4">
        <w:rPr>
          <w:rFonts w:ascii="Times New Roman" w:hAnsi="Times New Roman"/>
          <w:sz w:val="28"/>
          <w:szCs w:val="28"/>
        </w:rPr>
        <w:t>нсированию капитальных вложений;</w:t>
      </w:r>
    </w:p>
    <w:p w:rsidR="00697245" w:rsidRDefault="00697245" w:rsidP="006972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7245">
        <w:rPr>
          <w:rFonts w:ascii="Times New Roman" w:hAnsi="Times New Roman"/>
          <w:sz w:val="28"/>
          <w:szCs w:val="28"/>
        </w:rPr>
        <w:t>Объемы финансирования инвестиционной программы Регулируемой организации за счет выручки от реализации товаров (услуг) по регулируемым ценам (тарифам) включаются в необходимую валовую выручку в соответствии с утвержденной (скорректированной) в установленном по</w:t>
      </w:r>
      <w:r w:rsidR="00BF715B">
        <w:rPr>
          <w:rFonts w:ascii="Times New Roman" w:hAnsi="Times New Roman"/>
          <w:sz w:val="28"/>
          <w:szCs w:val="28"/>
        </w:rPr>
        <w:t>рядке инвестиционной программой;</w:t>
      </w:r>
    </w:p>
    <w:p w:rsidR="00697245" w:rsidRPr="00697245" w:rsidRDefault="00697245" w:rsidP="006972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7245" w:rsidRDefault="00191154" w:rsidP="006972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7005B">
        <w:rPr>
          <w:rFonts w:ascii="Times New Roman" w:hAnsi="Times New Roman"/>
          <w:sz w:val="28"/>
          <w:szCs w:val="28"/>
        </w:rPr>
        <w:t>)</w:t>
      </w:r>
      <w:r w:rsidR="00697245" w:rsidRPr="00697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06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97245" w:rsidRPr="00507EC6">
        <w:rPr>
          <w:rFonts w:ascii="Times New Roman" w:eastAsia="Times New Roman" w:hAnsi="Times New Roman" w:cs="Times New Roman"/>
          <w:sz w:val="28"/>
          <w:szCs w:val="28"/>
        </w:rPr>
        <w:t>егулирующий орган при установлении необходимой валовой выручки территориальных сетевых организаций Ленинградской области и единых (котловых) тарифов на услуги по передаче электрической энергии не учитывает строительство новых центров питания в зоне действия существующих центров питания, на которых имеется свобо</w:t>
      </w:r>
      <w:r w:rsidR="00697245">
        <w:rPr>
          <w:rFonts w:ascii="Times New Roman" w:eastAsia="Times New Roman" w:hAnsi="Times New Roman" w:cs="Times New Roman"/>
          <w:sz w:val="28"/>
          <w:szCs w:val="28"/>
        </w:rPr>
        <w:t>дная для присоединения мощность;</w:t>
      </w:r>
    </w:p>
    <w:p w:rsidR="00DB13F1" w:rsidRDefault="00DB13F1" w:rsidP="006972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80F" w:rsidRPr="00501B7F" w:rsidRDefault="00191154" w:rsidP="00D338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B7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B13F1" w:rsidRPr="00501B7F">
        <w:rPr>
          <w:rFonts w:ascii="Times New Roman" w:eastAsia="Times New Roman" w:hAnsi="Times New Roman" w:cs="Times New Roman"/>
          <w:sz w:val="28"/>
          <w:szCs w:val="28"/>
        </w:rPr>
        <w:t xml:space="preserve">) внесение изменений в настоящее соглашение путем заключения дополнительного соглашения </w:t>
      </w:r>
      <w:r w:rsidR="001C2D9D" w:rsidRPr="00501B7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B13F1" w:rsidRPr="00501B7F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D3380F" w:rsidRPr="00501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30E" w:rsidRPr="00501B7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3380F" w:rsidRPr="00501B7F">
        <w:rPr>
          <w:rFonts w:ascii="Times New Roman" w:eastAsia="Times New Roman" w:hAnsi="Times New Roman" w:cs="Times New Roman"/>
          <w:sz w:val="28"/>
          <w:szCs w:val="28"/>
        </w:rPr>
        <w:t>озникновени</w:t>
      </w:r>
      <w:r w:rsidR="001C2D9D" w:rsidRPr="00501B7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3380F" w:rsidRPr="00501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D9D" w:rsidRPr="00501B7F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D3380F" w:rsidRPr="00501B7F">
        <w:rPr>
          <w:rFonts w:ascii="Times New Roman" w:eastAsia="Times New Roman" w:hAnsi="Times New Roman" w:cs="Times New Roman"/>
          <w:sz w:val="28"/>
          <w:szCs w:val="28"/>
        </w:rPr>
        <w:t>, приводящих к дополнительному росту единых (котловых) тарифов,</w:t>
      </w:r>
      <w:r w:rsidR="008E230E" w:rsidRPr="00501B7F">
        <w:rPr>
          <w:rFonts w:ascii="Times New Roman" w:hAnsi="Times New Roman" w:cs="Times New Roman"/>
          <w:sz w:val="28"/>
          <w:szCs w:val="24"/>
        </w:rPr>
        <w:t xml:space="preserve"> сверх указанных в подпункте г) пункта 3</w:t>
      </w:r>
      <w:r w:rsidR="00D3380F" w:rsidRPr="00501B7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E230E" w:rsidRPr="00501B7F" w:rsidRDefault="008E230E" w:rsidP="008E230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01B7F">
        <w:rPr>
          <w:rFonts w:ascii="Times New Roman" w:hAnsi="Times New Roman" w:cs="Times New Roman"/>
          <w:sz w:val="28"/>
          <w:szCs w:val="24"/>
        </w:rPr>
        <w:t>изменения законодательства, влекущие обязательства Регулируемой организации по несению расходов, не учтенных при установлении единых (котловых) тарифов;</w:t>
      </w:r>
    </w:p>
    <w:p w:rsidR="00D3380F" w:rsidRPr="00501B7F" w:rsidRDefault="00D3380F" w:rsidP="00D3380F">
      <w:pPr>
        <w:pStyle w:val="ConsPlusNonformat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B7F">
        <w:rPr>
          <w:rFonts w:ascii="Times New Roman" w:eastAsia="Times New Roman" w:hAnsi="Times New Roman" w:cs="Times New Roman"/>
          <w:sz w:val="28"/>
          <w:szCs w:val="28"/>
        </w:rPr>
        <w:t>принятие в течение срока действия настоящего соглашения судебных решений, предписаний и решений ФАС России в результате досудебного урегулирования споров, не оспоренных в судебном порядке или признанным законными всту</w:t>
      </w:r>
      <w:r w:rsidR="00C35219" w:rsidRPr="00501B7F">
        <w:rPr>
          <w:rFonts w:ascii="Times New Roman" w:eastAsia="Times New Roman" w:hAnsi="Times New Roman" w:cs="Times New Roman"/>
          <w:sz w:val="28"/>
          <w:szCs w:val="28"/>
        </w:rPr>
        <w:t>пившими в силу судебными актами</w:t>
      </w:r>
      <w:r w:rsidRPr="00501B7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380F" w:rsidRPr="00501B7F" w:rsidRDefault="008E230E" w:rsidP="00D338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7F">
        <w:rPr>
          <w:rFonts w:ascii="Times New Roman" w:hAnsi="Times New Roman" w:cs="Times New Roman"/>
          <w:sz w:val="28"/>
          <w:szCs w:val="24"/>
        </w:rPr>
        <w:t>у</w:t>
      </w:r>
      <w:r w:rsidR="00D3380F" w:rsidRPr="00501B7F">
        <w:rPr>
          <w:rFonts w:ascii="Times New Roman" w:hAnsi="Times New Roman" w:cs="Times New Roman"/>
          <w:sz w:val="28"/>
          <w:szCs w:val="24"/>
        </w:rPr>
        <w:t xml:space="preserve">чет в необходимой валовой выручке прочих </w:t>
      </w:r>
      <w:r w:rsidR="00D3380F" w:rsidRPr="00501B7F">
        <w:rPr>
          <w:rFonts w:ascii="Times New Roman" w:hAnsi="Times New Roman" w:cs="Times New Roman"/>
          <w:sz w:val="28"/>
          <w:szCs w:val="28"/>
        </w:rPr>
        <w:t>территориальных сетевых организаций</w:t>
      </w:r>
      <w:r w:rsidR="00D3380F" w:rsidRPr="00501B7F">
        <w:rPr>
          <w:rFonts w:ascii="Times New Roman" w:hAnsi="Times New Roman" w:cs="Times New Roman"/>
          <w:sz w:val="28"/>
          <w:szCs w:val="24"/>
        </w:rPr>
        <w:t xml:space="preserve"> региона расходов, приводящих к дополнительному росту единых (котловых) тарифов</w:t>
      </w:r>
      <w:r w:rsidR="00C35219" w:rsidRPr="00501B7F">
        <w:rPr>
          <w:rFonts w:ascii="Times New Roman" w:hAnsi="Times New Roman" w:cs="Times New Roman"/>
          <w:sz w:val="28"/>
          <w:szCs w:val="24"/>
        </w:rPr>
        <w:t>, сверх указанных в подпункте г) пункта 3</w:t>
      </w:r>
      <w:r w:rsidR="00C378AC" w:rsidRPr="00501B7F">
        <w:rPr>
          <w:rFonts w:ascii="Times New Roman" w:hAnsi="Times New Roman" w:cs="Times New Roman"/>
          <w:sz w:val="28"/>
          <w:szCs w:val="28"/>
        </w:rPr>
        <w:t>;</w:t>
      </w:r>
    </w:p>
    <w:p w:rsidR="00D3380F" w:rsidRPr="00501B7F" w:rsidRDefault="008E230E" w:rsidP="00D338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7F">
        <w:rPr>
          <w:rFonts w:ascii="Times New Roman" w:hAnsi="Times New Roman" w:cs="Times New Roman"/>
          <w:sz w:val="28"/>
          <w:szCs w:val="28"/>
        </w:rPr>
        <w:t>увеличение</w:t>
      </w:r>
      <w:r w:rsidR="00EC7FF9" w:rsidRPr="00501B7F">
        <w:rPr>
          <w:rFonts w:ascii="Times New Roman" w:hAnsi="Times New Roman" w:cs="Times New Roman"/>
          <w:sz w:val="28"/>
          <w:szCs w:val="24"/>
        </w:rPr>
        <w:t xml:space="preserve"> </w:t>
      </w:r>
      <w:r w:rsidR="00D3380F" w:rsidRPr="00501B7F">
        <w:rPr>
          <w:rFonts w:ascii="Times New Roman" w:hAnsi="Times New Roman" w:cs="Times New Roman"/>
          <w:sz w:val="28"/>
          <w:szCs w:val="28"/>
        </w:rPr>
        <w:t>объемов обслужива</w:t>
      </w:r>
      <w:r w:rsidR="001271CF" w:rsidRPr="00501B7F">
        <w:rPr>
          <w:rFonts w:ascii="Times New Roman" w:hAnsi="Times New Roman" w:cs="Times New Roman"/>
          <w:sz w:val="28"/>
          <w:szCs w:val="28"/>
        </w:rPr>
        <w:t>емого</w:t>
      </w:r>
      <w:r w:rsidR="00D3380F" w:rsidRPr="00501B7F">
        <w:rPr>
          <w:rFonts w:ascii="Times New Roman" w:hAnsi="Times New Roman" w:cs="Times New Roman"/>
          <w:sz w:val="28"/>
          <w:szCs w:val="28"/>
        </w:rPr>
        <w:t xml:space="preserve"> электросетевого имущества</w:t>
      </w:r>
      <w:r w:rsidR="00EC7FF9" w:rsidRPr="00501B7F">
        <w:rPr>
          <w:rFonts w:ascii="Times New Roman" w:hAnsi="Times New Roman" w:cs="Times New Roman"/>
          <w:sz w:val="28"/>
          <w:szCs w:val="24"/>
        </w:rPr>
        <w:t xml:space="preserve"> Регулируемой организации</w:t>
      </w:r>
      <w:r w:rsidR="001271CF" w:rsidRPr="00501B7F">
        <w:rPr>
          <w:rFonts w:ascii="Times New Roman" w:hAnsi="Times New Roman" w:cs="Times New Roman"/>
          <w:sz w:val="28"/>
          <w:szCs w:val="28"/>
        </w:rPr>
        <w:t xml:space="preserve"> более чем на 10 %</w:t>
      </w:r>
      <w:r w:rsidRPr="00501B7F">
        <w:rPr>
          <w:rFonts w:ascii="Times New Roman" w:hAnsi="Times New Roman" w:cs="Times New Roman"/>
          <w:sz w:val="28"/>
          <w:szCs w:val="28"/>
        </w:rPr>
        <w:t>;</w:t>
      </w:r>
    </w:p>
    <w:p w:rsidR="00D3380F" w:rsidRPr="00507EC6" w:rsidRDefault="008E230E" w:rsidP="00D33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01B7F">
        <w:rPr>
          <w:rFonts w:ascii="Times New Roman" w:hAnsi="Times New Roman" w:cs="Times New Roman"/>
          <w:sz w:val="28"/>
          <w:szCs w:val="24"/>
        </w:rPr>
        <w:t>с</w:t>
      </w:r>
      <w:r w:rsidR="00D3380F" w:rsidRPr="00501B7F">
        <w:rPr>
          <w:rFonts w:ascii="Times New Roman" w:hAnsi="Times New Roman" w:cs="Times New Roman"/>
          <w:sz w:val="28"/>
          <w:szCs w:val="24"/>
        </w:rPr>
        <w:t>нижение фактического полезного отпуска электрической энергии более чем на 1 % от факта предыдущего года.</w:t>
      </w:r>
    </w:p>
    <w:p w:rsidR="00697245" w:rsidRDefault="00697245" w:rsidP="006F79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19C8" w:rsidRDefault="00D7005B" w:rsidP="00F22C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4687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F3258" w:rsidRPr="00507EC6">
        <w:rPr>
          <w:rFonts w:ascii="Times New Roman" w:hAnsi="Times New Roman" w:cs="Times New Roman"/>
          <w:sz w:val="28"/>
          <w:szCs w:val="28"/>
        </w:rPr>
        <w:t>Регулирующий орган вправе профинансировать за счет средств бюджета Ленинградской области отдельные расходы, предусмотренные пунктами 18 и 19 Основ ценообразования в области регулируемых цен (тарифов) в электроэнергетике, утвержденных постановлением Правительства Российской Федерации от 29.12.2011 № 1178 «О ценообразовании в области регулируемых цен (тарифов) в электроэнергетике», и не учтенные в необходимой валовой выручке Регулируемой организации.</w:t>
      </w:r>
      <w:r w:rsidR="00B359D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22C55" w:rsidRPr="00F22C55" w:rsidRDefault="00F22C55" w:rsidP="00F22C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258" w:rsidRPr="00F22C55" w:rsidRDefault="00F4582A" w:rsidP="00F22C55">
      <w:pPr>
        <w:pStyle w:val="ab"/>
        <w:keepNext/>
        <w:keepLines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3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Дополнить Соглашение разделом </w:t>
      </w:r>
      <w:r w:rsidRPr="00507EC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III</w:t>
      </w:r>
      <w:r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«Ответственность сторон»</w:t>
      </w:r>
    </w:p>
    <w:p w:rsidR="00F4582A" w:rsidRPr="00507EC6" w:rsidRDefault="00F4582A" w:rsidP="00F4582A">
      <w:pPr>
        <w:pStyle w:val="ConsPlusNormal"/>
        <w:ind w:firstLine="709"/>
        <w:jc w:val="both"/>
        <w:rPr>
          <w:sz w:val="28"/>
          <w:szCs w:val="28"/>
        </w:rPr>
      </w:pPr>
      <w:r w:rsidRPr="00507EC6">
        <w:rPr>
          <w:sz w:val="28"/>
          <w:szCs w:val="28"/>
        </w:rPr>
        <w:t>«</w:t>
      </w:r>
      <w:r w:rsidR="008806A1" w:rsidRPr="00507EC6">
        <w:rPr>
          <w:sz w:val="28"/>
          <w:szCs w:val="28"/>
        </w:rPr>
        <w:t>5</w:t>
      </w:r>
      <w:r w:rsidRPr="00507EC6">
        <w:rPr>
          <w:sz w:val="28"/>
          <w:szCs w:val="28"/>
        </w:rPr>
        <w:t xml:space="preserve">. В случае неисполнения или ненадлежащего исполнения своих </w:t>
      </w:r>
      <w:r w:rsidRPr="00507EC6">
        <w:rPr>
          <w:sz w:val="28"/>
          <w:szCs w:val="28"/>
        </w:rPr>
        <w:lastRenderedPageBreak/>
        <w:t>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:rsidR="00F4582A" w:rsidRDefault="008806A1" w:rsidP="00F22C55">
      <w:pPr>
        <w:pStyle w:val="ConsPlusNormal"/>
        <w:ind w:firstLine="709"/>
        <w:jc w:val="both"/>
        <w:rPr>
          <w:sz w:val="28"/>
          <w:szCs w:val="28"/>
        </w:rPr>
      </w:pPr>
      <w:r w:rsidRPr="00507EC6">
        <w:rPr>
          <w:sz w:val="28"/>
          <w:szCs w:val="28"/>
        </w:rPr>
        <w:t>6</w:t>
      </w:r>
      <w:r w:rsidR="00F4582A" w:rsidRPr="00507EC6">
        <w:rPr>
          <w:sz w:val="28"/>
          <w:szCs w:val="28"/>
        </w:rPr>
        <w:t xml:space="preserve">. Стороны не несут ответственность за неисполнение или ненадлежащее исполнение обязательств по настоящему соглашению, если докажут, что надлежащее исполнение обязательств оказалось невозможным вследствие наступления обстоятельств непреодолимой </w:t>
      </w:r>
      <w:r w:rsidR="00B359D2">
        <w:rPr>
          <w:sz w:val="28"/>
          <w:szCs w:val="28"/>
        </w:rPr>
        <w:t>силы или по вине другой стороны</w:t>
      </w:r>
      <w:r w:rsidR="00F4582A" w:rsidRPr="00507EC6">
        <w:rPr>
          <w:sz w:val="28"/>
          <w:szCs w:val="28"/>
        </w:rPr>
        <w:t>»</w:t>
      </w:r>
      <w:r w:rsidR="00B359D2">
        <w:rPr>
          <w:sz w:val="28"/>
          <w:szCs w:val="28"/>
        </w:rPr>
        <w:t>.</w:t>
      </w:r>
    </w:p>
    <w:p w:rsidR="00F22C55" w:rsidRPr="00F22C55" w:rsidRDefault="00F22C55" w:rsidP="00F22C55">
      <w:pPr>
        <w:pStyle w:val="ConsPlusNormal"/>
        <w:ind w:firstLine="709"/>
        <w:jc w:val="both"/>
        <w:rPr>
          <w:sz w:val="28"/>
          <w:szCs w:val="28"/>
        </w:rPr>
      </w:pPr>
    </w:p>
    <w:p w:rsidR="009E0F16" w:rsidRPr="00507EC6" w:rsidRDefault="00F4582A" w:rsidP="00C4743A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3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Переименовать </w:t>
      </w:r>
      <w:r w:rsidR="009E0F16"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 IV </w:t>
      </w:r>
      <w:r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9E0F16"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условия</w:t>
      </w:r>
      <w:r w:rsidR="009E0F16"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изложить его</w:t>
      </w:r>
      <w:r w:rsidR="009E0F16"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следующей редакции:</w:t>
      </w:r>
    </w:p>
    <w:p w:rsidR="00697245" w:rsidRPr="00F22C55" w:rsidRDefault="009E0F16" w:rsidP="00F22C5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EC6">
        <w:rPr>
          <w:rFonts w:ascii="Times New Roman" w:hAnsi="Times New Roman" w:cs="Times New Roman"/>
          <w:sz w:val="28"/>
          <w:szCs w:val="28"/>
        </w:rPr>
        <w:t>«</w:t>
      </w:r>
      <w:r w:rsidR="003F0D07" w:rsidRPr="00507EC6">
        <w:rPr>
          <w:rFonts w:ascii="Times New Roman" w:hAnsi="Times New Roman" w:cs="Times New Roman"/>
          <w:sz w:val="28"/>
          <w:szCs w:val="28"/>
        </w:rPr>
        <w:t>7</w:t>
      </w:r>
      <w:r w:rsidR="0086302F" w:rsidRPr="00507EC6">
        <w:rPr>
          <w:rFonts w:ascii="Times New Roman" w:hAnsi="Times New Roman" w:cs="Times New Roman"/>
          <w:sz w:val="28"/>
          <w:szCs w:val="28"/>
        </w:rPr>
        <w:t>. Настоящее соглашение заключено на 7 лет и действует до 01.01.2029.</w:t>
      </w:r>
    </w:p>
    <w:p w:rsidR="00697245" w:rsidRPr="00F22C55" w:rsidRDefault="003F0D07" w:rsidP="00F22C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EC6">
        <w:rPr>
          <w:rFonts w:ascii="Times New Roman" w:hAnsi="Times New Roman" w:cs="Times New Roman"/>
          <w:sz w:val="28"/>
          <w:szCs w:val="28"/>
        </w:rPr>
        <w:t>8</w:t>
      </w:r>
      <w:r w:rsidR="0086302F" w:rsidRPr="00507EC6">
        <w:rPr>
          <w:rFonts w:ascii="Times New Roman" w:hAnsi="Times New Roman" w:cs="Times New Roman"/>
          <w:sz w:val="28"/>
          <w:szCs w:val="28"/>
        </w:rPr>
        <w:t>. Изменение настоящего соглашения осуществляется в соответствии с пунктом 22 Правил заключения, изменения и расторжения соглашений об условиях осуществления регулируемых видов деятельности.</w:t>
      </w:r>
    </w:p>
    <w:p w:rsidR="0086302F" w:rsidRDefault="003F0D07" w:rsidP="00C47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86302F"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Расторжение настоящего соглашения осуществляется в соответствии с пунктами 33 - </w:t>
      </w:r>
      <w:hyperlink r:id="rId9" w:history="1">
        <w:r w:rsidR="0086302F" w:rsidRPr="00507EC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42</w:t>
        </w:r>
      </w:hyperlink>
      <w:r w:rsidR="0086302F"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 заключения, изменения и расторжения соглашений об условиях осуществления регулируемых видов деятельности.</w:t>
      </w:r>
    </w:p>
    <w:p w:rsidR="00697245" w:rsidRPr="00F22C55" w:rsidRDefault="001E40E7" w:rsidP="00F22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7EC6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3F0D07" w:rsidRPr="00507EC6">
        <w:rPr>
          <w:rFonts w:ascii="Times New Roman" w:hAnsi="Times New Roman" w:cs="Times New Roman"/>
          <w:sz w:val="28"/>
          <w:szCs w:val="28"/>
          <w:lang w:eastAsia="en-US"/>
        </w:rPr>
        <w:t>0</w:t>
      </w:r>
      <w:r w:rsidR="00DA5491" w:rsidRPr="00507EC6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341791" w:rsidRPr="00507EC6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Настоящее соглашение составлено в двух экземплярах по одному для каждой из Сторон</w:t>
      </w:r>
      <w:r w:rsidRPr="00507EC6">
        <w:rPr>
          <w:rFonts w:ascii="Times New Roman" w:hAnsi="Times New Roman" w:cs="Times New Roman"/>
          <w:sz w:val="28"/>
          <w:szCs w:val="28"/>
          <w:lang w:eastAsia="en-US"/>
        </w:rPr>
        <w:t>. </w:t>
      </w:r>
    </w:p>
    <w:p w:rsidR="001E40E7" w:rsidRPr="00507EC6" w:rsidRDefault="001E40E7" w:rsidP="001E4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7EC6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3F0D07" w:rsidRPr="00507EC6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C2637A">
        <w:rPr>
          <w:rFonts w:ascii="Times New Roman" w:hAnsi="Times New Roman" w:cs="Times New Roman"/>
          <w:sz w:val="28"/>
          <w:szCs w:val="28"/>
          <w:lang w:eastAsia="en-US"/>
        </w:rPr>
        <w:t>. Все приложения к настоящему с</w:t>
      </w:r>
      <w:r w:rsidRPr="00507EC6">
        <w:rPr>
          <w:rFonts w:ascii="Times New Roman" w:hAnsi="Times New Roman" w:cs="Times New Roman"/>
          <w:sz w:val="28"/>
          <w:szCs w:val="28"/>
          <w:lang w:eastAsia="en-US"/>
        </w:rPr>
        <w:t>оглашению являются неотъемлемой существенной е</w:t>
      </w:r>
      <w:r w:rsidR="00697245">
        <w:rPr>
          <w:rFonts w:ascii="Times New Roman" w:hAnsi="Times New Roman" w:cs="Times New Roman"/>
          <w:sz w:val="28"/>
          <w:szCs w:val="28"/>
          <w:lang w:eastAsia="en-US"/>
        </w:rPr>
        <w:t>го частью</w:t>
      </w:r>
      <w:r w:rsidRPr="00507EC6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69724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70020" w:rsidRPr="00507EC6" w:rsidRDefault="00870020" w:rsidP="0059559B">
      <w:pPr>
        <w:pStyle w:val="ConsPlusNormal"/>
        <w:jc w:val="both"/>
        <w:rPr>
          <w:sz w:val="28"/>
          <w:szCs w:val="28"/>
        </w:rPr>
      </w:pPr>
    </w:p>
    <w:p w:rsidR="00AA1BCE" w:rsidRPr="00507EC6" w:rsidRDefault="00AA1BCE" w:rsidP="00FF4F53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3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 </w:t>
      </w:r>
      <w:r w:rsidRPr="00507EC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«Заключительные положения» </w:t>
      </w:r>
      <w:r w:rsidR="001E40E7"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>исключить</w:t>
      </w:r>
      <w:r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A1BCE" w:rsidRPr="003424ED" w:rsidRDefault="00AA1BCE" w:rsidP="00AA1BC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633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B27934" w:rsidRPr="003424ED" w:rsidRDefault="00187D3A" w:rsidP="00803F11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3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24ED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 изменения в</w:t>
      </w:r>
      <w:r w:rsidR="00E66A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22FB5" w:rsidRPr="003424ED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График, обеспечивающ</w:t>
      </w:r>
      <w:r w:rsidR="00936132">
        <w:rPr>
          <w:rFonts w:ascii="Times New Roman" w:eastAsiaTheme="minorHAnsi" w:hAnsi="Times New Roman" w:cs="Times New Roman"/>
          <w:sz w:val="28"/>
          <w:szCs w:val="28"/>
          <w:lang w:eastAsia="en-US"/>
        </w:rPr>
        <w:t>ий</w:t>
      </w:r>
      <w:r w:rsidR="00E22FB5" w:rsidRPr="003424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полный возврат выпадающих (недополученных) доходов (накопленного сглаживания)</w:t>
      </w:r>
      <w:r w:rsidR="005C08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(Приложение № 2)</w:t>
      </w:r>
      <w:r w:rsidR="00E22FB5" w:rsidRPr="003424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424E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</w:t>
      </w:r>
      <w:r w:rsidR="00E22FB5" w:rsidRPr="003424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приложени</w:t>
      </w:r>
      <w:r w:rsidRPr="003424ED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="00E22FB5" w:rsidRPr="003424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81C7C" w:rsidRPr="003424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</w:t>
      </w:r>
      <w:r w:rsidR="00E22FB5" w:rsidRPr="003424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настоящему </w:t>
      </w:r>
      <w:r w:rsidR="00C83243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E22FB5" w:rsidRPr="003424ED">
        <w:rPr>
          <w:rFonts w:ascii="Times New Roman" w:eastAsiaTheme="minorHAnsi" w:hAnsi="Times New Roman" w:cs="Times New Roman"/>
          <w:sz w:val="28"/>
          <w:szCs w:val="28"/>
          <w:lang w:eastAsia="en-US"/>
        </w:rPr>
        <w:t>ополнительному соглашению</w:t>
      </w:r>
      <w:r w:rsidR="00E2518C" w:rsidRPr="003424E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22FB5" w:rsidRPr="003424ED" w:rsidRDefault="00E22FB5" w:rsidP="00E2518C">
      <w:pPr>
        <w:pStyle w:val="ConsPlusNormal"/>
        <w:jc w:val="both"/>
        <w:rPr>
          <w:sz w:val="20"/>
          <w:szCs w:val="20"/>
        </w:rPr>
      </w:pPr>
    </w:p>
    <w:p w:rsidR="001E40E7" w:rsidRPr="00507EC6" w:rsidRDefault="0004729B" w:rsidP="00D340C8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3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Настоящее Д</w:t>
      </w:r>
      <w:r w:rsidR="00D340C8" w:rsidRPr="00507EC6">
        <w:rPr>
          <w:rFonts w:ascii="Times New Roman" w:eastAsiaTheme="minorHAnsi" w:hAnsi="Times New Roman" w:cs="Times New Roman"/>
          <w:sz w:val="28"/>
          <w:szCs w:val="28"/>
          <w:lang w:eastAsia="en-US"/>
        </w:rPr>
        <w:t>ополнительное соглашение вступает в силу в соответствии с пунктом 21 Правил заключения, изменения и расторжения соглашений об условиях осуществления регулируемых видов деятельности.</w:t>
      </w:r>
    </w:p>
    <w:p w:rsidR="00D340C8" w:rsidRPr="003424ED" w:rsidRDefault="00D340C8" w:rsidP="00D340C8">
      <w:pPr>
        <w:pStyle w:val="ab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870020" w:rsidRPr="00C378AC" w:rsidRDefault="00A832BE" w:rsidP="00FF4F53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3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78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</w:t>
      </w:r>
      <w:r w:rsidR="00624179" w:rsidRPr="00C378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Дополнительное соглашение </w:t>
      </w:r>
      <w:r w:rsidRPr="00C378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составлено в </w:t>
      </w:r>
      <w:r w:rsidR="005E34B6" w:rsidRPr="00C378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 </w:t>
      </w:r>
      <w:r w:rsidRPr="00C378AC">
        <w:rPr>
          <w:rFonts w:ascii="Times New Roman" w:eastAsiaTheme="minorHAnsi" w:hAnsi="Times New Roman" w:cs="Times New Roman"/>
          <w:sz w:val="28"/>
          <w:szCs w:val="28"/>
          <w:lang w:eastAsia="en-US"/>
        </w:rPr>
        <w:t>экземплярах,</w:t>
      </w:r>
      <w:r w:rsidR="005E34B6" w:rsidRPr="00C378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одному для каждой из Сторон и один экземпляр для Федеральной антимонопольной службы. </w:t>
      </w:r>
    </w:p>
    <w:p w:rsidR="00556DC2" w:rsidRPr="00507EC6" w:rsidRDefault="00556DC2" w:rsidP="005D33BF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10177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5088"/>
        <w:gridCol w:w="5089"/>
      </w:tblGrid>
      <w:tr w:rsidR="00507EC6" w:rsidRPr="00507EC6" w:rsidTr="009C19C8">
        <w:trPr>
          <w:trHeight w:val="20"/>
        </w:trPr>
        <w:tc>
          <w:tcPr>
            <w:tcW w:w="5088" w:type="dxa"/>
            <w:shd w:val="clear" w:color="auto" w:fill="auto"/>
          </w:tcPr>
          <w:p w:rsidR="00556DC2" w:rsidRPr="00507EC6" w:rsidRDefault="00556DC2" w:rsidP="009C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507EC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Комитет по тарифам и ценовой политике Ленинградской области</w:t>
            </w:r>
          </w:p>
          <w:p w:rsidR="00556DC2" w:rsidRPr="00507EC6" w:rsidRDefault="00556DC2" w:rsidP="009C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2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89" w:type="dxa"/>
          </w:tcPr>
          <w:p w:rsidR="00556DC2" w:rsidRPr="00507EC6" w:rsidRDefault="00556DC2" w:rsidP="009C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507EC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Публичное акционерное общество «Россети Ленэнерго»</w:t>
            </w:r>
          </w:p>
        </w:tc>
      </w:tr>
      <w:tr w:rsidR="00507EC6" w:rsidRPr="00507EC6" w:rsidTr="009C19C8">
        <w:trPr>
          <w:trHeight w:val="20"/>
        </w:trPr>
        <w:tc>
          <w:tcPr>
            <w:tcW w:w="5088" w:type="dxa"/>
            <w:shd w:val="clear" w:color="auto" w:fill="auto"/>
          </w:tcPr>
          <w:p w:rsidR="00556DC2" w:rsidRPr="00507EC6" w:rsidRDefault="00556DC2" w:rsidP="00556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89" w:type="dxa"/>
          </w:tcPr>
          <w:p w:rsidR="00556DC2" w:rsidRPr="00507EC6" w:rsidRDefault="00556DC2" w:rsidP="009C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07EC6">
              <w:rPr>
                <w:rFonts w:ascii="Times New Roman" w:eastAsia="Times New Roman" w:hAnsi="Times New Roman" w:cs="Times New Roman"/>
                <w:sz w:val="27"/>
                <w:szCs w:val="27"/>
              </w:rPr>
              <w:t>Генеральный директор</w:t>
            </w:r>
          </w:p>
          <w:p w:rsidR="00556DC2" w:rsidRPr="00507EC6" w:rsidRDefault="00556DC2" w:rsidP="009C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507EC6" w:rsidRPr="00507EC6" w:rsidTr="009C19C8">
        <w:trPr>
          <w:trHeight w:val="20"/>
        </w:trPr>
        <w:tc>
          <w:tcPr>
            <w:tcW w:w="5088" w:type="dxa"/>
            <w:shd w:val="clear" w:color="auto" w:fill="auto"/>
          </w:tcPr>
          <w:p w:rsidR="00556DC2" w:rsidRPr="00507EC6" w:rsidRDefault="00556DC2" w:rsidP="009C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089" w:type="dxa"/>
          </w:tcPr>
          <w:p w:rsidR="00556DC2" w:rsidRPr="00507EC6" w:rsidRDefault="00556DC2" w:rsidP="009C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507EC6" w:rsidRPr="00507EC6" w:rsidTr="009C19C8">
        <w:trPr>
          <w:trHeight w:val="20"/>
        </w:trPr>
        <w:tc>
          <w:tcPr>
            <w:tcW w:w="5088" w:type="dxa"/>
            <w:shd w:val="clear" w:color="auto" w:fill="auto"/>
          </w:tcPr>
          <w:p w:rsidR="00556DC2" w:rsidRPr="00507EC6" w:rsidRDefault="00556DC2" w:rsidP="00556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2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507EC6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 /                             /</w:t>
            </w:r>
          </w:p>
        </w:tc>
        <w:tc>
          <w:tcPr>
            <w:tcW w:w="5089" w:type="dxa"/>
          </w:tcPr>
          <w:p w:rsidR="00556DC2" w:rsidRPr="00507EC6" w:rsidRDefault="00556DC2" w:rsidP="009C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507EC6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 /</w:t>
            </w:r>
            <w:proofErr w:type="spellStart"/>
            <w:r w:rsidRPr="00507EC6">
              <w:rPr>
                <w:rFonts w:ascii="Times New Roman" w:eastAsia="Times New Roman" w:hAnsi="Times New Roman" w:cs="Times New Roman"/>
                <w:sz w:val="27"/>
                <w:szCs w:val="27"/>
              </w:rPr>
              <w:t>И.А.Кузьмин</w:t>
            </w:r>
            <w:proofErr w:type="spellEnd"/>
            <w:r w:rsidRPr="00507EC6">
              <w:rPr>
                <w:rFonts w:ascii="Times New Roman" w:eastAsia="Times New Roman" w:hAnsi="Times New Roman" w:cs="Times New Roman"/>
                <w:sz w:val="27"/>
                <w:szCs w:val="27"/>
              </w:rPr>
              <w:t>/</w:t>
            </w:r>
          </w:p>
        </w:tc>
      </w:tr>
    </w:tbl>
    <w:p w:rsidR="00A138F4" w:rsidRDefault="00A138F4" w:rsidP="00E22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A138F4" w:rsidSect="00870020">
          <w:footerReference w:type="default" r:id="rId10"/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FD5DE6" w:rsidRDefault="00FD5DE6" w:rsidP="00FD5D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38F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1</w:t>
      </w:r>
    </w:p>
    <w:p w:rsidR="008C5E7E" w:rsidRPr="00A138F4" w:rsidRDefault="008C5E7E" w:rsidP="00FD5D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7690" w:rsidRDefault="004D6990" w:rsidP="008C5E7E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>
        <w:rPr>
          <w:rFonts w:ascii="Times New Roman" w:eastAsia="Times New Roman" w:hAnsi="Times New Roman" w:cs="Times New Roman"/>
          <w:b/>
          <w:sz w:val="28"/>
          <w:szCs w:val="27"/>
        </w:rPr>
        <w:t xml:space="preserve">Изменения в </w:t>
      </w:r>
      <w:r w:rsidR="00FD5DE6" w:rsidRPr="00A138F4">
        <w:rPr>
          <w:rFonts w:ascii="Times New Roman" w:eastAsia="Times New Roman" w:hAnsi="Times New Roman" w:cs="Times New Roman"/>
          <w:b/>
          <w:sz w:val="28"/>
          <w:szCs w:val="27"/>
        </w:rPr>
        <w:t>График, обеспечивающий полный возврат выпадающих (недополученных) доходов (накопленного</w:t>
      </w:r>
      <w:r w:rsidR="008C5E7E">
        <w:rPr>
          <w:rFonts w:ascii="Times New Roman" w:eastAsia="Times New Roman" w:hAnsi="Times New Roman" w:cs="Times New Roman"/>
          <w:b/>
          <w:sz w:val="28"/>
          <w:szCs w:val="27"/>
        </w:rPr>
        <w:t> </w:t>
      </w:r>
      <w:r w:rsidR="00FD5DE6" w:rsidRPr="00A138F4">
        <w:rPr>
          <w:rFonts w:ascii="Times New Roman" w:eastAsia="Times New Roman" w:hAnsi="Times New Roman" w:cs="Times New Roman"/>
          <w:b/>
          <w:sz w:val="28"/>
          <w:szCs w:val="27"/>
        </w:rPr>
        <w:t>сглаживания)</w:t>
      </w:r>
    </w:p>
    <w:p w:rsidR="00A238ED" w:rsidRDefault="00FD5DE6" w:rsidP="00AF7690">
      <w:pPr>
        <w:keepNext/>
        <w:spacing w:after="0" w:line="240" w:lineRule="auto"/>
        <w:jc w:val="right"/>
        <w:rPr>
          <w:sz w:val="12"/>
          <w:szCs w:val="12"/>
        </w:rPr>
      </w:pPr>
      <w:r w:rsidRPr="00507EC6">
        <w:rPr>
          <w:rFonts w:ascii="Times New Roman" w:eastAsia="Times New Roman" w:hAnsi="Times New Roman" w:cs="Times New Roman"/>
          <w:sz w:val="24"/>
          <w:szCs w:val="25"/>
        </w:rPr>
        <w:t>тыс. руб</w:t>
      </w:r>
      <w:r>
        <w:rPr>
          <w:rFonts w:ascii="Times New Roman" w:eastAsia="Times New Roman" w:hAnsi="Times New Roman" w:cs="Times New Roman"/>
          <w:sz w:val="24"/>
          <w:szCs w:val="25"/>
        </w:rPr>
        <w:t>.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407"/>
        <w:gridCol w:w="1134"/>
        <w:gridCol w:w="1772"/>
        <w:gridCol w:w="1772"/>
        <w:gridCol w:w="1772"/>
        <w:gridCol w:w="1772"/>
      </w:tblGrid>
      <w:tr w:rsidR="00A238ED" w:rsidRPr="00DD566B" w:rsidTr="008C5E7E">
        <w:trPr>
          <w:cantSplit/>
          <w:trHeight w:val="311"/>
          <w:tblHeader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A238ED" w:rsidRPr="00DD566B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7" w:type="dxa"/>
            <w:shd w:val="clear" w:color="auto" w:fill="auto"/>
            <w:noWrap/>
            <w:vAlign w:val="center"/>
            <w:hideMark/>
          </w:tcPr>
          <w:p w:rsidR="00A238ED" w:rsidRPr="00DD566B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1134" w:type="dxa"/>
            <w:vAlign w:val="center"/>
          </w:tcPr>
          <w:p w:rsidR="00A238ED" w:rsidRPr="003019BD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1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A238ED" w:rsidRPr="00DD566B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A238ED" w:rsidRPr="00DD566B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A238ED" w:rsidRPr="00DD566B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A238ED" w:rsidRPr="00DD566B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A238ED" w:rsidRPr="00DD566B" w:rsidTr="008C5E7E">
        <w:trPr>
          <w:cantSplit/>
          <w:trHeight w:val="252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A238ED" w:rsidRPr="00BE7BB1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:rsidR="00A238ED" w:rsidRPr="005C5F4C" w:rsidRDefault="00A238ED" w:rsidP="008C5E7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Выпадающие (недополученные) доходы (накопленное сглаживание) </w:t>
            </w:r>
            <w:r w:rsidR="008C5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 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конец предыдущего года (т.е. </w:t>
            </w:r>
            <w:r w:rsidR="008C5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 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момента принятия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тарифного решения)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C5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 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соответствующий год)</w:t>
            </w:r>
          </w:p>
        </w:tc>
        <w:tc>
          <w:tcPr>
            <w:tcW w:w="1134" w:type="dxa"/>
            <w:vAlign w:val="center"/>
          </w:tcPr>
          <w:p w:rsidR="00A238ED" w:rsidRPr="00F07A70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7 256 810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A238ED" w:rsidRPr="00F07A70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6 697 700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A238ED" w:rsidRPr="00F07A70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5 486 751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A238ED" w:rsidRPr="00F07A70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4 419 377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A238ED" w:rsidRPr="00F07A70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2 406 177</w:t>
            </w:r>
          </w:p>
        </w:tc>
      </w:tr>
      <w:tr w:rsidR="00A238ED" w:rsidRPr="00DD566B" w:rsidTr="008C5E7E">
        <w:trPr>
          <w:cantSplit/>
          <w:trHeight w:val="202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A238ED" w:rsidRPr="00BE7BB1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:rsidR="00A238ED" w:rsidRPr="005C5F4C" w:rsidRDefault="00A238ED" w:rsidP="008C5E7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Выпадающие (недополученные) доходы (накопленное сглаживание) </w:t>
            </w:r>
            <w:r w:rsidR="008C5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 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начало соответствующего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года (т.е. </w:t>
            </w:r>
            <w:r w:rsidR="008C5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 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момента принятия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тарифного решения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C5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 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соответствующий год </w:t>
            </w:r>
            <w:r w:rsidR="008C5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 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увеличенные </w:t>
            </w:r>
            <w:r w:rsidR="008C5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 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ИПЦ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соответствующего года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(п.1</w:t>
            </w:r>
            <w:r w:rsidR="008C5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 w:rsidR="008C5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п.7))</w:t>
            </w:r>
          </w:p>
        </w:tc>
        <w:tc>
          <w:tcPr>
            <w:tcW w:w="1134" w:type="dxa"/>
            <w:vAlign w:val="center"/>
          </w:tcPr>
          <w:p w:rsidR="00A238ED" w:rsidRPr="00F07A70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7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7 779</w:t>
            </w:r>
            <w:r w:rsidR="004C667E" w:rsidRPr="00F07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F07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  <w:r w:rsidR="004C667E" w:rsidRPr="00F07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A238ED" w:rsidRPr="00F07A70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6 965 608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A238ED" w:rsidRPr="00F07A70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5 706 221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A238ED" w:rsidRPr="00F07A70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4 596 152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A238ED" w:rsidRPr="00F07A70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2 502 424</w:t>
            </w:r>
          </w:p>
        </w:tc>
      </w:tr>
      <w:tr w:rsidR="00A238ED" w:rsidRPr="00DD566B" w:rsidTr="008C5E7E">
        <w:trPr>
          <w:cantSplit/>
          <w:trHeight w:val="56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A238ED" w:rsidRPr="00BE7BB1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:rsidR="00A238ED" w:rsidRPr="005C5F4C" w:rsidRDefault="00A238ED" w:rsidP="008C5E7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Минимальный объем возмещаемых выпадающих (недополученных) доходов (сглаживания) </w:t>
            </w:r>
            <w:r w:rsidR="008C5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 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соответствующий год</w:t>
            </w:r>
          </w:p>
        </w:tc>
        <w:tc>
          <w:tcPr>
            <w:tcW w:w="1134" w:type="dxa"/>
            <w:vAlign w:val="center"/>
          </w:tcPr>
          <w:p w:rsidR="00A238ED" w:rsidRPr="00F07A70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07A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1 081 600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A238ED" w:rsidRPr="00F07A70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07A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1 478 857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A238ED" w:rsidRPr="00F07A70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07A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1 286 844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A238ED" w:rsidRPr="00F07A70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07A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2 189 975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A238ED" w:rsidRPr="00F07A70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07A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2 502 424</w:t>
            </w:r>
          </w:p>
        </w:tc>
      </w:tr>
      <w:tr w:rsidR="00A238ED" w:rsidRPr="00DD566B" w:rsidTr="008C5E7E">
        <w:trPr>
          <w:cantSplit/>
          <w:trHeight w:val="208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A238ED" w:rsidRPr="00BE7BB1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:rsidR="00A238ED" w:rsidRPr="005C5F4C" w:rsidRDefault="00A238ED" w:rsidP="008C5E7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Остаток выпадающих (недополученных) доходов (накопленного сглаживания) </w:t>
            </w:r>
            <w:r w:rsidR="008C5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 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конец соответствующего года (т.е. после принятия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тарифного решения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C5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 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соответствующий год) (п.2-п.3)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A238ED" w:rsidRPr="00F07A70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6 697 700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A238ED" w:rsidRPr="00F07A70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5 486 751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A238ED" w:rsidRPr="00F07A70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4 419 377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A238ED" w:rsidRPr="00F07A70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2 406 177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A238ED" w:rsidRPr="00F07A70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238ED" w:rsidRPr="00DD566B" w:rsidTr="008C5E7E">
        <w:trPr>
          <w:cantSplit/>
          <w:trHeight w:val="157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A238ED" w:rsidRPr="00BE7BB1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:rsidR="00A238ED" w:rsidRPr="005C5F4C" w:rsidRDefault="00A238ED" w:rsidP="008C5E7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Предельное максимальное изменение средневзвешенных </w:t>
            </w:r>
            <w:proofErr w:type="spellStart"/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одноставочных</w:t>
            </w:r>
            <w:proofErr w:type="spellEnd"/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тарифов </w:t>
            </w:r>
            <w:r w:rsidR="008C5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 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</w:t>
            </w:r>
            <w:r w:rsidR="008C5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 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передаче электрической энерги</w:t>
            </w:r>
            <w:r w:rsidR="008C5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 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прочим потребителям (с</w:t>
            </w:r>
            <w:r w:rsidR="008C5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июля)</w:t>
            </w:r>
          </w:p>
        </w:tc>
        <w:tc>
          <w:tcPr>
            <w:tcW w:w="1134" w:type="dxa"/>
            <w:vAlign w:val="center"/>
          </w:tcPr>
          <w:p w:rsidR="00A238ED" w:rsidRPr="00F07A70" w:rsidRDefault="00AA7B2C" w:rsidP="00667F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70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7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238ED" w:rsidRPr="006C35A2" w:rsidRDefault="002A1626" w:rsidP="00667FC3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m:oMath>
              <m:sSubSup>
                <m:sSubSupPr>
                  <m:ctrlPr>
                    <w:rPr>
                      <w:rFonts w:ascii="Cambria Math" w:hAnsi="Cambria Math" w:cs="Cambria Math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 w:cs="Cambria Math"/>
                      <w:sz w:val="18"/>
                      <w:szCs w:val="18"/>
                    </w:rPr>
                    <m:t>СЭП</m:t>
                  </m:r>
                </m:e>
                <m:sub>
                  <m:r>
                    <w:rPr>
                      <w:rFonts w:ascii="Cambria Math" w:hAnsi="Cambria Math" w:cs="Cambria Math"/>
                      <w:sz w:val="18"/>
                      <w:szCs w:val="18"/>
                    </w:rPr>
                    <m:t>пер</m:t>
                  </m:r>
                </m:sub>
                <m:sup>
                  <m:r>
                    <w:rPr>
                      <w:rFonts w:ascii="Cambria Math" w:hAnsi="Cambria Math" w:cs="Cambria Math"/>
                      <w:sz w:val="18"/>
                      <w:szCs w:val="18"/>
                    </w:rPr>
                    <m:t>прочие (2025)</m:t>
                  </m:r>
                </m:sup>
              </m:sSubSup>
            </m:oMath>
            <w:r w:rsidR="00A238ED" w:rsidRPr="006C35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+ 5,0%</w:t>
            </w:r>
          </w:p>
        </w:tc>
        <w:tc>
          <w:tcPr>
            <w:tcW w:w="17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238ED" w:rsidRPr="006C35A2" w:rsidRDefault="002A1626" w:rsidP="00667FC3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m:oMath>
              <m:sSubSup>
                <m:sSubSupPr>
                  <m:ctrlPr>
                    <w:rPr>
                      <w:rFonts w:ascii="Cambria Math" w:hAnsi="Cambria Math" w:cs="Cambria Math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 w:cs="Cambria Math"/>
                      <w:sz w:val="18"/>
                      <w:szCs w:val="18"/>
                    </w:rPr>
                    <m:t>СЭП</m:t>
                  </m:r>
                </m:e>
                <m:sub>
                  <m:r>
                    <w:rPr>
                      <w:rFonts w:ascii="Cambria Math" w:hAnsi="Cambria Math" w:cs="Cambria Math"/>
                      <w:sz w:val="18"/>
                      <w:szCs w:val="18"/>
                    </w:rPr>
                    <m:t>пер</m:t>
                  </m:r>
                </m:sub>
                <m:sup>
                  <m:r>
                    <w:rPr>
                      <w:rFonts w:ascii="Cambria Math" w:hAnsi="Cambria Math" w:cs="Cambria Math"/>
                      <w:sz w:val="18"/>
                      <w:szCs w:val="18"/>
                    </w:rPr>
                    <m:t>прочие (2026)</m:t>
                  </m:r>
                </m:sup>
              </m:sSubSup>
            </m:oMath>
            <w:r w:rsidR="00A238ED" w:rsidRPr="006C35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+ 5,9%</w:t>
            </w:r>
          </w:p>
        </w:tc>
        <w:tc>
          <w:tcPr>
            <w:tcW w:w="17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238ED" w:rsidRPr="006C35A2" w:rsidRDefault="002A1626" w:rsidP="00667FC3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m:oMath>
              <m:sSubSup>
                <m:sSubSupPr>
                  <m:ctrlPr>
                    <w:rPr>
                      <w:rFonts w:ascii="Cambria Math" w:hAnsi="Cambria Math" w:cs="Cambria Math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 w:cs="Cambria Math"/>
                      <w:sz w:val="18"/>
                      <w:szCs w:val="18"/>
                    </w:rPr>
                    <m:t>СЭП</m:t>
                  </m:r>
                </m:e>
                <m:sub>
                  <m:r>
                    <w:rPr>
                      <w:rFonts w:ascii="Cambria Math" w:hAnsi="Cambria Math" w:cs="Cambria Math"/>
                      <w:sz w:val="18"/>
                      <w:szCs w:val="18"/>
                    </w:rPr>
                    <m:t>пер</m:t>
                  </m:r>
                </m:sub>
                <m:sup>
                  <m:r>
                    <w:rPr>
                      <w:rFonts w:ascii="Cambria Math" w:hAnsi="Cambria Math" w:cs="Cambria Math"/>
                      <w:sz w:val="18"/>
                      <w:szCs w:val="18"/>
                    </w:rPr>
                    <m:t>прочие (2027)</m:t>
                  </m:r>
                </m:sup>
              </m:sSubSup>
            </m:oMath>
            <w:r w:rsidR="00A238ED" w:rsidRPr="006C35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+ 5,7%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A238ED" w:rsidRPr="006C35A2" w:rsidRDefault="002A1626" w:rsidP="00667FC3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m:oMath>
              <m:sSubSup>
                <m:sSubSupPr>
                  <m:ctrlPr>
                    <w:rPr>
                      <w:rFonts w:ascii="Cambria Math" w:hAnsi="Cambria Math" w:cs="Cambria Math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 w:cs="Cambria Math"/>
                      <w:sz w:val="18"/>
                      <w:szCs w:val="18"/>
                    </w:rPr>
                    <m:t>СЭП</m:t>
                  </m:r>
                </m:e>
                <m:sub>
                  <m:r>
                    <w:rPr>
                      <w:rFonts w:ascii="Cambria Math" w:hAnsi="Cambria Math" w:cs="Cambria Math"/>
                      <w:sz w:val="18"/>
                      <w:szCs w:val="18"/>
                    </w:rPr>
                    <m:t>пер</m:t>
                  </m:r>
                </m:sub>
                <m:sup>
                  <m:r>
                    <w:rPr>
                      <w:rFonts w:ascii="Cambria Math" w:hAnsi="Cambria Math" w:cs="Cambria Math"/>
                      <w:sz w:val="18"/>
                      <w:szCs w:val="18"/>
                    </w:rPr>
                    <m:t>прочие (2028)</m:t>
                  </m:r>
                </m:sup>
              </m:sSubSup>
            </m:oMath>
            <w:r w:rsidR="00A238ED" w:rsidRPr="006C35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+ 4,8%</w:t>
            </w:r>
          </w:p>
        </w:tc>
      </w:tr>
      <w:tr w:rsidR="00A238ED" w:rsidRPr="00DD566B" w:rsidTr="008C5E7E">
        <w:trPr>
          <w:cantSplit/>
          <w:trHeight w:val="263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A238ED" w:rsidRPr="00BE7BB1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:rsidR="00A238ED" w:rsidRPr="005C5F4C" w:rsidRDefault="00A238ED" w:rsidP="008C5E7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Предельное максимальное изменение средневзвешенных </w:t>
            </w:r>
            <w:proofErr w:type="spellStart"/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одноставочных</w:t>
            </w:r>
            <w:proofErr w:type="spellEnd"/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тарифов </w:t>
            </w:r>
            <w:r w:rsidR="008C5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 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</w:t>
            </w:r>
            <w:r w:rsidR="008C5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 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передаче электрической энерги</w:t>
            </w:r>
            <w:r w:rsidR="008C5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 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населению </w:t>
            </w:r>
            <w:r w:rsidR="008C5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 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приравненным к нему категориям потребителей (с июля)</w:t>
            </w:r>
          </w:p>
        </w:tc>
        <w:tc>
          <w:tcPr>
            <w:tcW w:w="1134" w:type="dxa"/>
            <w:vAlign w:val="center"/>
          </w:tcPr>
          <w:p w:rsidR="00A238ED" w:rsidRPr="00F07A70" w:rsidRDefault="00AA7B2C" w:rsidP="00667F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70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7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238ED" w:rsidRPr="006C35A2" w:rsidRDefault="002A1626" w:rsidP="00667FC3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m:oMath>
              <m:sSubSup>
                <m:sSubSupPr>
                  <m:ctrlPr>
                    <w:rPr>
                      <w:rFonts w:ascii="Cambria Math" w:hAnsi="Cambria Math" w:cs="Cambria Math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 w:cs="Cambria Math"/>
                      <w:sz w:val="18"/>
                      <w:szCs w:val="18"/>
                    </w:rPr>
                    <m:t>СЭП</m:t>
                  </m:r>
                </m:e>
                <m:sub>
                  <m:r>
                    <w:rPr>
                      <w:rFonts w:ascii="Cambria Math" w:hAnsi="Cambria Math" w:cs="Cambria Math"/>
                      <w:sz w:val="18"/>
                      <w:szCs w:val="18"/>
                    </w:rPr>
                    <m:t>пер</m:t>
                  </m:r>
                </m:sub>
                <m:sup>
                  <m:r>
                    <w:rPr>
                      <w:rFonts w:ascii="Cambria Math" w:hAnsi="Cambria Math" w:cs="Cambria Math"/>
                      <w:sz w:val="18"/>
                      <w:szCs w:val="18"/>
                    </w:rPr>
                    <m:t>прочие (2025)</m:t>
                  </m:r>
                </m:sup>
              </m:sSubSup>
            </m:oMath>
            <w:r w:rsidR="00A238ED" w:rsidRPr="006C35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+ 5,0%</w:t>
            </w:r>
          </w:p>
        </w:tc>
        <w:tc>
          <w:tcPr>
            <w:tcW w:w="17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238ED" w:rsidRPr="006C35A2" w:rsidRDefault="002A1626" w:rsidP="00667FC3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m:oMath>
              <m:sSubSup>
                <m:sSubSupPr>
                  <m:ctrlPr>
                    <w:rPr>
                      <w:rFonts w:ascii="Cambria Math" w:hAnsi="Cambria Math" w:cs="Cambria Math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 w:cs="Cambria Math"/>
                      <w:sz w:val="18"/>
                      <w:szCs w:val="18"/>
                    </w:rPr>
                    <m:t>СЭП</m:t>
                  </m:r>
                </m:e>
                <m:sub>
                  <m:r>
                    <w:rPr>
                      <w:rFonts w:ascii="Cambria Math" w:hAnsi="Cambria Math" w:cs="Cambria Math"/>
                      <w:sz w:val="18"/>
                      <w:szCs w:val="18"/>
                    </w:rPr>
                    <m:t>пер</m:t>
                  </m:r>
                </m:sub>
                <m:sup>
                  <m:r>
                    <w:rPr>
                      <w:rFonts w:ascii="Cambria Math" w:hAnsi="Cambria Math" w:cs="Cambria Math"/>
                      <w:sz w:val="18"/>
                      <w:szCs w:val="18"/>
                    </w:rPr>
                    <m:t>прочие (2026)</m:t>
                  </m:r>
                </m:sup>
              </m:sSubSup>
            </m:oMath>
            <w:r w:rsidR="00A238ED" w:rsidRPr="006C35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+ 5,9%</w:t>
            </w:r>
          </w:p>
        </w:tc>
        <w:tc>
          <w:tcPr>
            <w:tcW w:w="17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238ED" w:rsidRPr="006C35A2" w:rsidRDefault="002A1626" w:rsidP="00667FC3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m:oMath>
              <m:sSubSup>
                <m:sSubSupPr>
                  <m:ctrlPr>
                    <w:rPr>
                      <w:rFonts w:ascii="Cambria Math" w:hAnsi="Cambria Math" w:cs="Cambria Math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 w:cs="Cambria Math"/>
                      <w:sz w:val="18"/>
                      <w:szCs w:val="18"/>
                    </w:rPr>
                    <m:t>СЭП</m:t>
                  </m:r>
                </m:e>
                <m:sub>
                  <m:r>
                    <w:rPr>
                      <w:rFonts w:ascii="Cambria Math" w:hAnsi="Cambria Math" w:cs="Cambria Math"/>
                      <w:sz w:val="18"/>
                      <w:szCs w:val="18"/>
                    </w:rPr>
                    <m:t>пер</m:t>
                  </m:r>
                </m:sub>
                <m:sup>
                  <m:r>
                    <w:rPr>
                      <w:rFonts w:ascii="Cambria Math" w:hAnsi="Cambria Math" w:cs="Cambria Math"/>
                      <w:sz w:val="18"/>
                      <w:szCs w:val="18"/>
                    </w:rPr>
                    <m:t>прочие (2027)</m:t>
                  </m:r>
                </m:sup>
              </m:sSubSup>
            </m:oMath>
            <w:r w:rsidR="00A238ED" w:rsidRPr="006C35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+ 5,7%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A238ED" w:rsidRPr="006C35A2" w:rsidRDefault="002A1626" w:rsidP="00667FC3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m:oMath>
              <m:sSubSup>
                <m:sSubSupPr>
                  <m:ctrlPr>
                    <w:rPr>
                      <w:rFonts w:ascii="Cambria Math" w:hAnsi="Cambria Math" w:cs="Cambria Math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 w:cs="Cambria Math"/>
                      <w:sz w:val="18"/>
                      <w:szCs w:val="18"/>
                    </w:rPr>
                    <m:t>СЭП</m:t>
                  </m:r>
                </m:e>
                <m:sub>
                  <m:r>
                    <w:rPr>
                      <w:rFonts w:ascii="Cambria Math" w:hAnsi="Cambria Math" w:cs="Cambria Math"/>
                      <w:sz w:val="18"/>
                      <w:szCs w:val="18"/>
                    </w:rPr>
                    <m:t>пер</m:t>
                  </m:r>
                </m:sub>
                <m:sup>
                  <m:r>
                    <w:rPr>
                      <w:rFonts w:ascii="Cambria Math" w:hAnsi="Cambria Math" w:cs="Cambria Math"/>
                      <w:sz w:val="18"/>
                      <w:szCs w:val="18"/>
                    </w:rPr>
                    <m:t>прочие (2028)</m:t>
                  </m:r>
                </m:sup>
              </m:sSubSup>
            </m:oMath>
            <w:r w:rsidR="00A238ED" w:rsidRPr="006C35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+ 4,8%</w:t>
            </w:r>
          </w:p>
        </w:tc>
      </w:tr>
      <w:tr w:rsidR="00A238ED" w:rsidRPr="00DD566B" w:rsidTr="008C5E7E">
        <w:trPr>
          <w:cantSplit/>
          <w:trHeight w:val="273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A238ED" w:rsidRPr="00BE7BB1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:rsidR="00A238ED" w:rsidRPr="005C5F4C" w:rsidRDefault="00A238ED" w:rsidP="008C5E7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Индекс потребительских цен (ИПЦ) </w:t>
            </w:r>
            <w:r w:rsidR="008C5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соответствующий год регулирования,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73A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используемый в расчете выпадающих (недополученных) доходов (накопленного сглаживания) </w:t>
            </w:r>
            <w:r w:rsidR="008C5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 </w:t>
            </w:r>
            <w:r w:rsidRPr="00D73A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:rsidR="00A238ED" w:rsidRPr="00F07A70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7,2 %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A238ED" w:rsidRPr="00F07A70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4,00%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A238ED" w:rsidRPr="00F07A70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4,00%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A238ED" w:rsidRPr="00F07A70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4,00%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A238ED" w:rsidRPr="00F07A70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4,00%</w:t>
            </w:r>
          </w:p>
        </w:tc>
      </w:tr>
      <w:tr w:rsidR="00A238ED" w:rsidRPr="00DD566B" w:rsidTr="008C5E7E">
        <w:trPr>
          <w:cantSplit/>
          <w:trHeight w:val="365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A238ED" w:rsidRPr="00BE7BB1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:rsidR="00A238ED" w:rsidRPr="005C5F4C" w:rsidRDefault="00AA7B2C" w:rsidP="008C5E7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ИПЦ на соответствующий  год регулирования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соответствии с Прогнозом социально-экономического развития Российской Федерации, публикуемым Минэкономразвития России,  действующи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момент принятия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тарифного решения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соответствующий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год, 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среднем за 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%</w:t>
            </w:r>
          </w:p>
        </w:tc>
        <w:tc>
          <w:tcPr>
            <w:tcW w:w="1134" w:type="dxa"/>
            <w:vAlign w:val="center"/>
          </w:tcPr>
          <w:p w:rsidR="00A238ED" w:rsidRPr="00AF7690" w:rsidRDefault="00A238ED" w:rsidP="00EF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7,2%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A238ED" w:rsidRPr="00DD566B" w:rsidRDefault="00A238ED" w:rsidP="004C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5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ИПЦ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A238ED" w:rsidRPr="00DD566B" w:rsidRDefault="00A238ED" w:rsidP="004C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5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ИПЦ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A238ED" w:rsidRPr="00DD566B" w:rsidRDefault="00A238ED" w:rsidP="004C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5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ИПЦ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A238ED" w:rsidRPr="00DD566B" w:rsidRDefault="00A238ED" w:rsidP="004C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5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ИПЦ</w:t>
            </w:r>
          </w:p>
        </w:tc>
      </w:tr>
      <w:tr w:rsidR="00A238ED" w:rsidRPr="00DD566B" w:rsidTr="008C5E7E">
        <w:trPr>
          <w:cantSplit/>
          <w:trHeight w:val="70"/>
        </w:trPr>
        <w:tc>
          <w:tcPr>
            <w:tcW w:w="392" w:type="dxa"/>
            <w:vMerge w:val="restart"/>
            <w:shd w:val="clear" w:color="auto" w:fill="auto"/>
            <w:noWrap/>
            <w:vAlign w:val="center"/>
            <w:hideMark/>
          </w:tcPr>
          <w:p w:rsidR="00A238ED" w:rsidRPr="00BE7BB1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07" w:type="dxa"/>
            <w:vMerge w:val="restart"/>
            <w:shd w:val="clear" w:color="auto" w:fill="auto"/>
            <w:vAlign w:val="center"/>
            <w:hideMark/>
          </w:tcPr>
          <w:p w:rsidR="00A238ED" w:rsidRPr="005C5F4C" w:rsidRDefault="00A238ED" w:rsidP="008C5E7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Отклонение (увеличение/уменьшение) ИПЦ,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установленного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Прогнозом социально-экономического развития Российской Федерации, публикуемым Минэкономразвития России,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действующим </w:t>
            </w:r>
            <w:r w:rsidR="008C5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на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момент принятия тарифного решения </w:t>
            </w:r>
            <w:r w:rsidR="008C5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на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соответствующий год, 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от используемого в расчете значения п.7</w:t>
            </w:r>
            <w:r w:rsidR="008C5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на </w:t>
            </w:r>
            <w:r w:rsidRPr="00EF1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соответствующий год регулирования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, в %</w:t>
            </w:r>
          </w:p>
        </w:tc>
        <w:tc>
          <w:tcPr>
            <w:tcW w:w="1134" w:type="dxa"/>
            <w:vMerge w:val="restart"/>
            <w:vAlign w:val="center"/>
          </w:tcPr>
          <w:p w:rsidR="00A238ED" w:rsidRPr="00AF7690" w:rsidRDefault="00A238ED" w:rsidP="00CD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F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A238ED" w:rsidRPr="00CB4882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48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Значение п.8    минус               значение п.7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A238ED" w:rsidRPr="00CB4882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48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Значение п.8    минус               значение п.7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A238ED" w:rsidRPr="00CB4882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48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Значение п.8    минус               значение п.7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A238ED" w:rsidRPr="00CB4882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48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Значение п.8    минус               значение п.7</w:t>
            </w:r>
          </w:p>
        </w:tc>
      </w:tr>
      <w:tr w:rsidR="00A238ED" w:rsidRPr="00DD566B" w:rsidTr="008C5E7E">
        <w:trPr>
          <w:cantSplit/>
          <w:trHeight w:val="70"/>
        </w:trPr>
        <w:tc>
          <w:tcPr>
            <w:tcW w:w="392" w:type="dxa"/>
            <w:vMerge/>
            <w:shd w:val="clear" w:color="auto" w:fill="auto"/>
            <w:noWrap/>
            <w:vAlign w:val="center"/>
          </w:tcPr>
          <w:p w:rsidR="00A238ED" w:rsidRPr="00BE7BB1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7" w:type="dxa"/>
            <w:vMerge/>
            <w:shd w:val="clear" w:color="auto" w:fill="auto"/>
            <w:vAlign w:val="center"/>
          </w:tcPr>
          <w:p w:rsidR="00A238ED" w:rsidRPr="005C5F4C" w:rsidRDefault="00A238ED" w:rsidP="008C5E7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A238ED" w:rsidRPr="00AF7690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A238ED" w:rsidRPr="00D0390C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9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рассчитывается при принятии тарифного решения на 2025 год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A238ED" w:rsidRPr="00D0390C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9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рассчитывается при принятии тарифного решения на 2026 год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A238ED" w:rsidRPr="00D0390C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9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рассчитывается при принятии тарифного решения на 2027 год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A238ED" w:rsidRPr="00D0390C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9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рассчитывается при принятии тарифного решения на 2028 год</w:t>
            </w:r>
          </w:p>
        </w:tc>
      </w:tr>
      <w:tr w:rsidR="00A238ED" w:rsidRPr="00DD566B" w:rsidTr="008C5E7E">
        <w:trPr>
          <w:cantSplit/>
          <w:trHeight w:val="368"/>
        </w:trPr>
        <w:tc>
          <w:tcPr>
            <w:tcW w:w="392" w:type="dxa"/>
            <w:vMerge w:val="restart"/>
            <w:shd w:val="clear" w:color="auto" w:fill="auto"/>
            <w:noWrap/>
            <w:vAlign w:val="center"/>
            <w:hideMark/>
          </w:tcPr>
          <w:p w:rsidR="00A238ED" w:rsidRPr="00BE7BB1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6407" w:type="dxa"/>
            <w:vMerge w:val="restart"/>
            <w:shd w:val="clear" w:color="auto" w:fill="auto"/>
            <w:vAlign w:val="center"/>
            <w:hideMark/>
          </w:tcPr>
          <w:p w:rsidR="00A238ED" w:rsidRPr="005C5F4C" w:rsidRDefault="00A238ED" w:rsidP="008C5E7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Величи</w:t>
            </w:r>
            <w:r w:rsidR="008C5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на 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изменения выпадающих (недополученных) доходов (накопленного сглаживания) </w:t>
            </w:r>
            <w:r w:rsidR="008C5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на 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соответствующий год, рассчитанных исходя из ИПЦ в</w:t>
            </w:r>
            <w:r w:rsidR="008C5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соответстви</w:t>
            </w:r>
            <w:r w:rsidR="008C5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и 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с Прогнозом социально-экономического развития Российской Федерации, публикуемым Минэкономразвития России, действующим </w:t>
            </w:r>
            <w:r w:rsidR="008C5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на 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момент принятия тарифного решения </w:t>
            </w:r>
            <w:r w:rsidR="008C5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на 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соответствующий год, относительно выпадающих доходов, рассчитанных с учетом ИПЦ,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указанного в</w:t>
            </w:r>
            <w:r w:rsidR="008C5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п.7</w:t>
            </w:r>
          </w:p>
        </w:tc>
        <w:tc>
          <w:tcPr>
            <w:tcW w:w="1134" w:type="dxa"/>
            <w:vMerge w:val="restart"/>
            <w:vAlign w:val="center"/>
          </w:tcPr>
          <w:p w:rsidR="00A238ED" w:rsidRPr="00AF7690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7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A238ED" w:rsidRPr="00CB4882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48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Произведение п.1 и п.9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A238ED" w:rsidRPr="00CB4882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48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Произведение п.1 и п.9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A238ED" w:rsidRPr="00CB4882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48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Произведение п.1 и п.9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A238ED" w:rsidRPr="00CB4882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48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Произведение п.1 и п.9</w:t>
            </w:r>
          </w:p>
        </w:tc>
      </w:tr>
      <w:tr w:rsidR="00A238ED" w:rsidRPr="00DD566B" w:rsidTr="008C5E7E">
        <w:trPr>
          <w:cantSplit/>
          <w:trHeight w:val="367"/>
        </w:trPr>
        <w:tc>
          <w:tcPr>
            <w:tcW w:w="392" w:type="dxa"/>
            <w:vMerge/>
            <w:shd w:val="clear" w:color="auto" w:fill="auto"/>
            <w:noWrap/>
            <w:vAlign w:val="center"/>
          </w:tcPr>
          <w:p w:rsidR="00A238ED" w:rsidRPr="00BE7BB1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7" w:type="dxa"/>
            <w:vMerge/>
            <w:shd w:val="clear" w:color="auto" w:fill="auto"/>
            <w:vAlign w:val="center"/>
          </w:tcPr>
          <w:p w:rsidR="00A238ED" w:rsidRPr="005C5F4C" w:rsidRDefault="00A238ED" w:rsidP="008C5E7E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A238ED" w:rsidRPr="00CB4882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A238ED" w:rsidRPr="00D0390C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9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рассчитывается при принятии тарифного решения на 2025 год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A238ED" w:rsidRPr="00D0390C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9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рассчитывается при принятии тарифного решения на 2026 год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A238ED" w:rsidRPr="00D0390C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9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рассчитывается при принятии тарифного решения на 2027 год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A238ED" w:rsidRPr="00D0390C" w:rsidRDefault="00A238ED" w:rsidP="0066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9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рассчитывается при принятии тарифного решения на 2028 год</w:t>
            </w:r>
          </w:p>
        </w:tc>
      </w:tr>
      <w:tr w:rsidR="008C5E7E" w:rsidRPr="00DD566B" w:rsidTr="008C5E7E">
        <w:trPr>
          <w:cantSplit/>
          <w:trHeight w:val="278"/>
        </w:trPr>
        <w:tc>
          <w:tcPr>
            <w:tcW w:w="392" w:type="dxa"/>
            <w:vMerge w:val="restart"/>
            <w:shd w:val="clear" w:color="auto" w:fill="auto"/>
            <w:noWrap/>
            <w:vAlign w:val="center"/>
          </w:tcPr>
          <w:p w:rsidR="008C5E7E" w:rsidRPr="00BE7BB1" w:rsidRDefault="008C5E7E" w:rsidP="008C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07" w:type="dxa"/>
            <w:vMerge w:val="restart"/>
            <w:shd w:val="clear" w:color="auto" w:fill="auto"/>
            <w:vAlign w:val="center"/>
          </w:tcPr>
          <w:p w:rsidR="008C5E7E" w:rsidRDefault="008C5E7E" w:rsidP="008C5E7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О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бъем возмещаемых выпадающих (недополученных) доходов (сглаживания), подлежащий включению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необходимую валовую выручку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при принятии тарифного решения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на </w:t>
            </w:r>
            <w:r w:rsidRPr="005C5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соответствующий год</w:t>
            </w:r>
          </w:p>
        </w:tc>
        <w:tc>
          <w:tcPr>
            <w:tcW w:w="1134" w:type="dxa"/>
            <w:vMerge w:val="restart"/>
            <w:vAlign w:val="center"/>
          </w:tcPr>
          <w:p w:rsidR="008C5E7E" w:rsidRPr="003019BD" w:rsidRDefault="008C5E7E" w:rsidP="008C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01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1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8C5E7E" w:rsidRDefault="008C5E7E" w:rsidP="008C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48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 значений</w:t>
            </w:r>
          </w:p>
          <w:p w:rsidR="008C5E7E" w:rsidRPr="00CB4882" w:rsidRDefault="008C5E7E" w:rsidP="008C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48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п.3 и п.10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8C5E7E" w:rsidRDefault="008C5E7E" w:rsidP="008C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48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 значений</w:t>
            </w:r>
          </w:p>
          <w:p w:rsidR="008C5E7E" w:rsidRPr="00CB4882" w:rsidRDefault="008C5E7E" w:rsidP="008C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48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п.3 и п.10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8C5E7E" w:rsidRDefault="008C5E7E" w:rsidP="008C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48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 значений</w:t>
            </w:r>
          </w:p>
          <w:p w:rsidR="008C5E7E" w:rsidRPr="00CB4882" w:rsidRDefault="008C5E7E" w:rsidP="008C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48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п.3 и п.10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8C5E7E" w:rsidRDefault="008C5E7E" w:rsidP="008C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48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 значений</w:t>
            </w:r>
          </w:p>
          <w:p w:rsidR="008C5E7E" w:rsidRPr="00CB4882" w:rsidRDefault="008C5E7E" w:rsidP="008C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48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п.3 и п.10</w:t>
            </w:r>
          </w:p>
        </w:tc>
      </w:tr>
      <w:tr w:rsidR="008C5E7E" w:rsidRPr="00DD566B" w:rsidTr="008C5E7E">
        <w:trPr>
          <w:cantSplit/>
          <w:trHeight w:val="278"/>
        </w:trPr>
        <w:tc>
          <w:tcPr>
            <w:tcW w:w="392" w:type="dxa"/>
            <w:vMerge/>
            <w:shd w:val="clear" w:color="auto" w:fill="auto"/>
            <w:noWrap/>
            <w:vAlign w:val="center"/>
          </w:tcPr>
          <w:p w:rsidR="008C5E7E" w:rsidRPr="00BE7BB1" w:rsidRDefault="008C5E7E" w:rsidP="008C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7" w:type="dxa"/>
            <w:vMerge/>
            <w:shd w:val="clear" w:color="auto" w:fill="auto"/>
            <w:vAlign w:val="center"/>
          </w:tcPr>
          <w:p w:rsidR="008C5E7E" w:rsidRDefault="008C5E7E" w:rsidP="008C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C5E7E" w:rsidRPr="003019BD" w:rsidRDefault="008C5E7E" w:rsidP="008C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8C5E7E" w:rsidRPr="00D0390C" w:rsidRDefault="008C5E7E" w:rsidP="008C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9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рассчитывается при принятии тарифного решения на 2025 год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8C5E7E" w:rsidRPr="00D0390C" w:rsidRDefault="008C5E7E" w:rsidP="008C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9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рассчитывается при принятии тарифного решения на 2026 год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8C5E7E" w:rsidRPr="00D0390C" w:rsidRDefault="008C5E7E" w:rsidP="008C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9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рассчитывается при принятии тарифного решения на 2027 год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8C5E7E" w:rsidRPr="00D0390C" w:rsidRDefault="008C5E7E" w:rsidP="008C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9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рассчитывается при принятии тарифного решения на 2028 год</w:t>
            </w:r>
          </w:p>
        </w:tc>
      </w:tr>
    </w:tbl>
    <w:p w:rsidR="00B70575" w:rsidRDefault="00F07A70" w:rsidP="00B7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07A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Возврат </w:t>
      </w:r>
      <w:r w:rsidRPr="00F07A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выпадающих (недополученных) доходов (сглаживания) за период 2022 – 2024 осуществлен в полном объеме в соответствии с условиями настоящего соглашения, действующими до подписания дополнительного соглашения №1 к настоящему соглашению.</w:t>
      </w:r>
    </w:p>
    <w:p w:rsidR="00F07A70" w:rsidRPr="00F07A70" w:rsidRDefault="00F07A70" w:rsidP="00B7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07A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* Увеличение суммы выпадающих (недополученных) доходов (накопленного сглаживания) на 232 218 тыс. руб., рассчитанной в связи с изменением ИПЦ с 4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F07A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0 % согласно Прогнозу  социально-экономического развития Российской Федерации, опубликованному Минэкономразвития России 30.09.2021, до 7,2</w:t>
      </w:r>
      <w:r w:rsidR="00EF202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Pr="00F07A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% согласно Прогнозу  социально-экономического развития Российской Федерации, опубликованному Минэкономразвития России 22.09.2023, в соответствии с условиями примечания к приложению №2 Соглашения об условиях осуществления регулируемой деятельности по оказанию услуг по передаче электрической энергии  в редакции от 11.02.2022.</w:t>
      </w:r>
    </w:p>
    <w:p w:rsidR="00A238ED" w:rsidRDefault="00A238ED" w:rsidP="00761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5"/>
        </w:rPr>
      </w:pPr>
    </w:p>
    <w:p w:rsidR="00A238ED" w:rsidRDefault="00A238ED" w:rsidP="00761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5"/>
        </w:rPr>
      </w:pPr>
    </w:p>
    <w:p w:rsidR="00FD5DE6" w:rsidRDefault="00FD5DE6" w:rsidP="002A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E26" w:rsidRDefault="003A7E26" w:rsidP="002A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E26" w:rsidRDefault="003A7E26" w:rsidP="002A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744" w:type="dxa"/>
        <w:jc w:val="center"/>
        <w:tblLayout w:type="fixed"/>
        <w:tblLook w:val="0400" w:firstRow="0" w:lastRow="0" w:firstColumn="0" w:lastColumn="0" w:noHBand="0" w:noVBand="1"/>
      </w:tblPr>
      <w:tblGrid>
        <w:gridCol w:w="4536"/>
        <w:gridCol w:w="3119"/>
        <w:gridCol w:w="5089"/>
      </w:tblGrid>
      <w:tr w:rsidR="00FD5DE6" w:rsidRPr="00507EC6" w:rsidTr="00CD0EF7">
        <w:trPr>
          <w:trHeight w:val="831"/>
          <w:jc w:val="center"/>
        </w:trPr>
        <w:tc>
          <w:tcPr>
            <w:tcW w:w="4536" w:type="dxa"/>
            <w:shd w:val="clear" w:color="auto" w:fill="auto"/>
          </w:tcPr>
          <w:p w:rsidR="00FD5DE6" w:rsidRPr="00507EC6" w:rsidRDefault="00FD5DE6" w:rsidP="00906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507EC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Комитет по тарифам и ценовой политике Ленинградской области</w:t>
            </w:r>
          </w:p>
        </w:tc>
        <w:tc>
          <w:tcPr>
            <w:tcW w:w="3119" w:type="dxa"/>
          </w:tcPr>
          <w:p w:rsidR="00FD5DE6" w:rsidRPr="00507EC6" w:rsidRDefault="00FD5DE6" w:rsidP="00906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89" w:type="dxa"/>
          </w:tcPr>
          <w:p w:rsidR="00FD5DE6" w:rsidRPr="00507EC6" w:rsidRDefault="00FD5DE6" w:rsidP="00906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507EC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Публичное акционерное общество «Россети Ленэнерго»</w:t>
            </w:r>
          </w:p>
        </w:tc>
      </w:tr>
      <w:tr w:rsidR="00FD5DE6" w:rsidRPr="00507EC6" w:rsidTr="00CD0EF7">
        <w:trPr>
          <w:trHeight w:val="576"/>
          <w:jc w:val="center"/>
        </w:trPr>
        <w:tc>
          <w:tcPr>
            <w:tcW w:w="4536" w:type="dxa"/>
            <w:shd w:val="clear" w:color="auto" w:fill="auto"/>
          </w:tcPr>
          <w:p w:rsidR="00FD5DE6" w:rsidRPr="00507EC6" w:rsidRDefault="00FD5DE6" w:rsidP="00906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119" w:type="dxa"/>
          </w:tcPr>
          <w:p w:rsidR="00FD5DE6" w:rsidRPr="00507EC6" w:rsidRDefault="00FD5DE6" w:rsidP="00906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89" w:type="dxa"/>
          </w:tcPr>
          <w:p w:rsidR="00FD5DE6" w:rsidRPr="00507EC6" w:rsidRDefault="00FD5DE6" w:rsidP="00906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507EC6">
              <w:rPr>
                <w:rFonts w:ascii="Times New Roman" w:eastAsia="Times New Roman" w:hAnsi="Times New Roman" w:cs="Times New Roman"/>
                <w:sz w:val="27"/>
                <w:szCs w:val="27"/>
              </w:rPr>
              <w:t>Генеральный директор</w:t>
            </w:r>
          </w:p>
        </w:tc>
      </w:tr>
      <w:tr w:rsidR="00FD5DE6" w:rsidRPr="00507EC6" w:rsidTr="00CD0EF7">
        <w:trPr>
          <w:trHeight w:val="20"/>
          <w:jc w:val="center"/>
        </w:trPr>
        <w:tc>
          <w:tcPr>
            <w:tcW w:w="4536" w:type="dxa"/>
            <w:shd w:val="clear" w:color="auto" w:fill="auto"/>
          </w:tcPr>
          <w:p w:rsidR="00FD5DE6" w:rsidRPr="00507EC6" w:rsidRDefault="00FD5DE6" w:rsidP="00906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</w:tcPr>
          <w:p w:rsidR="00FD5DE6" w:rsidRPr="00507EC6" w:rsidRDefault="00FD5DE6" w:rsidP="00906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089" w:type="dxa"/>
          </w:tcPr>
          <w:p w:rsidR="00FD5DE6" w:rsidRPr="00507EC6" w:rsidRDefault="00FD5DE6" w:rsidP="00906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FD5DE6" w:rsidRPr="00507EC6" w:rsidTr="00CD0EF7">
        <w:trPr>
          <w:trHeight w:val="20"/>
          <w:jc w:val="center"/>
        </w:trPr>
        <w:tc>
          <w:tcPr>
            <w:tcW w:w="4536" w:type="dxa"/>
            <w:shd w:val="clear" w:color="auto" w:fill="auto"/>
          </w:tcPr>
          <w:p w:rsidR="00FD5DE6" w:rsidRPr="00507EC6" w:rsidRDefault="00FD5DE6" w:rsidP="00906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2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507EC6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 /</w:t>
            </w:r>
            <w:r w:rsidRPr="00507EC6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                       </w:t>
            </w:r>
            <w:r w:rsidRPr="00507EC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/</w:t>
            </w:r>
          </w:p>
        </w:tc>
        <w:tc>
          <w:tcPr>
            <w:tcW w:w="3119" w:type="dxa"/>
          </w:tcPr>
          <w:p w:rsidR="00FD5DE6" w:rsidRPr="00507EC6" w:rsidRDefault="00FD5DE6" w:rsidP="00906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2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89" w:type="dxa"/>
          </w:tcPr>
          <w:p w:rsidR="00FD5DE6" w:rsidRPr="00507EC6" w:rsidRDefault="00FD5DE6" w:rsidP="00906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507EC6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 /</w:t>
            </w:r>
            <w:proofErr w:type="spellStart"/>
            <w:r w:rsidRPr="00507EC6">
              <w:rPr>
                <w:rFonts w:ascii="Times New Roman" w:eastAsia="Times New Roman" w:hAnsi="Times New Roman" w:cs="Times New Roman"/>
                <w:sz w:val="27"/>
                <w:szCs w:val="27"/>
              </w:rPr>
              <w:t>И.А.Кузьмин</w:t>
            </w:r>
            <w:proofErr w:type="spellEnd"/>
            <w:r w:rsidRPr="00507EC6">
              <w:rPr>
                <w:rFonts w:ascii="Times New Roman" w:eastAsia="Times New Roman" w:hAnsi="Times New Roman" w:cs="Times New Roman"/>
                <w:sz w:val="27"/>
                <w:szCs w:val="27"/>
              </w:rPr>
              <w:t>/</w:t>
            </w:r>
          </w:p>
        </w:tc>
      </w:tr>
    </w:tbl>
    <w:p w:rsidR="00FD5DE6" w:rsidRPr="00507EC6" w:rsidRDefault="00FD5DE6" w:rsidP="00FD5DE6">
      <w:pPr>
        <w:pStyle w:val="ConsPlusNormal"/>
        <w:jc w:val="both"/>
        <w:rPr>
          <w:sz w:val="12"/>
          <w:szCs w:val="12"/>
        </w:rPr>
      </w:pPr>
    </w:p>
    <w:sectPr w:rsidR="00FD5DE6" w:rsidRPr="00507EC6" w:rsidSect="008C5E7E">
      <w:pgSz w:w="16838" w:h="11906" w:orient="landscape"/>
      <w:pgMar w:top="851" w:right="820" w:bottom="1418" w:left="1134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626" w:rsidRDefault="002A1626">
      <w:pPr>
        <w:spacing w:after="0" w:line="240" w:lineRule="auto"/>
      </w:pPr>
      <w:r>
        <w:separator/>
      </w:r>
    </w:p>
  </w:endnote>
  <w:endnote w:type="continuationSeparator" w:id="0">
    <w:p w:rsidR="002A1626" w:rsidRDefault="002A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150971"/>
      <w:docPartObj>
        <w:docPartGallery w:val="Page Numbers (Bottom of Page)"/>
        <w:docPartUnique/>
      </w:docPartObj>
    </w:sdtPr>
    <w:sdtEndPr/>
    <w:sdtContent>
      <w:p w:rsidR="002A3DC0" w:rsidRDefault="002A3D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575">
          <w:rPr>
            <w:noProof/>
          </w:rPr>
          <w:t>11</w:t>
        </w:r>
        <w:r>
          <w:fldChar w:fldCharType="end"/>
        </w:r>
      </w:p>
    </w:sdtContent>
  </w:sdt>
  <w:p w:rsidR="002A3DC0" w:rsidRDefault="002A3D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626" w:rsidRDefault="002A1626">
      <w:pPr>
        <w:spacing w:after="0" w:line="240" w:lineRule="auto"/>
      </w:pPr>
      <w:r>
        <w:separator/>
      </w:r>
    </w:p>
  </w:footnote>
  <w:footnote w:type="continuationSeparator" w:id="0">
    <w:p w:rsidR="002A1626" w:rsidRDefault="002A1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769A"/>
    <w:multiLevelType w:val="hybridMultilevel"/>
    <w:tmpl w:val="70D05EC0"/>
    <w:lvl w:ilvl="0" w:tplc="55F89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651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44C1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2B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6E6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2E51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EBB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82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54CD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465E9"/>
    <w:multiLevelType w:val="hybridMultilevel"/>
    <w:tmpl w:val="D07483F4"/>
    <w:lvl w:ilvl="0" w:tplc="FF4A3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4A9C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6CB4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082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2AF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9223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E0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260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A48D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E6D30"/>
    <w:multiLevelType w:val="hybridMultilevel"/>
    <w:tmpl w:val="0F487E40"/>
    <w:lvl w:ilvl="0" w:tplc="0652A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CCE5B7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527CB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D52594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36AECA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686ECE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71C3AC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DF805F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6F62DD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602ED0"/>
    <w:multiLevelType w:val="hybridMultilevel"/>
    <w:tmpl w:val="6D24897C"/>
    <w:lvl w:ilvl="0" w:tplc="36FE11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44631D"/>
    <w:multiLevelType w:val="hybridMultilevel"/>
    <w:tmpl w:val="5BE4AC1E"/>
    <w:lvl w:ilvl="0" w:tplc="84D8C5D6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F01539A"/>
    <w:multiLevelType w:val="hybridMultilevel"/>
    <w:tmpl w:val="0B260EFA"/>
    <w:lvl w:ilvl="0" w:tplc="A5F2E1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E24081D"/>
    <w:multiLevelType w:val="hybridMultilevel"/>
    <w:tmpl w:val="74F08250"/>
    <w:lvl w:ilvl="0" w:tplc="A5F2E1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29"/>
    <w:rsid w:val="00000029"/>
    <w:rsid w:val="00002800"/>
    <w:rsid w:val="0000783D"/>
    <w:rsid w:val="0001339D"/>
    <w:rsid w:val="000203A2"/>
    <w:rsid w:val="00023D4D"/>
    <w:rsid w:val="00026010"/>
    <w:rsid w:val="00042047"/>
    <w:rsid w:val="0004729B"/>
    <w:rsid w:val="000545CF"/>
    <w:rsid w:val="00054F08"/>
    <w:rsid w:val="000610F5"/>
    <w:rsid w:val="00073A61"/>
    <w:rsid w:val="000765E5"/>
    <w:rsid w:val="00080CDE"/>
    <w:rsid w:val="00081A5B"/>
    <w:rsid w:val="00096E11"/>
    <w:rsid w:val="000A1069"/>
    <w:rsid w:val="000A61FD"/>
    <w:rsid w:val="000B0EA5"/>
    <w:rsid w:val="000C0876"/>
    <w:rsid w:val="000C788F"/>
    <w:rsid w:val="000D3479"/>
    <w:rsid w:val="000D7FCD"/>
    <w:rsid w:val="000E608A"/>
    <w:rsid w:val="000E65A9"/>
    <w:rsid w:val="000E75FE"/>
    <w:rsid w:val="000F2E6C"/>
    <w:rsid w:val="00100E5C"/>
    <w:rsid w:val="00103FF7"/>
    <w:rsid w:val="00110895"/>
    <w:rsid w:val="001117C4"/>
    <w:rsid w:val="00113BC1"/>
    <w:rsid w:val="001271CF"/>
    <w:rsid w:val="00133B10"/>
    <w:rsid w:val="00146939"/>
    <w:rsid w:val="0015455F"/>
    <w:rsid w:val="001629D6"/>
    <w:rsid w:val="00167F77"/>
    <w:rsid w:val="00170204"/>
    <w:rsid w:val="00174AD9"/>
    <w:rsid w:val="00181309"/>
    <w:rsid w:val="00181CC4"/>
    <w:rsid w:val="00187D3A"/>
    <w:rsid w:val="00191154"/>
    <w:rsid w:val="001B7CAA"/>
    <w:rsid w:val="001C0530"/>
    <w:rsid w:val="001C1DAB"/>
    <w:rsid w:val="001C2D9D"/>
    <w:rsid w:val="001C5434"/>
    <w:rsid w:val="001E40E7"/>
    <w:rsid w:val="001E41EB"/>
    <w:rsid w:val="001E521A"/>
    <w:rsid w:val="001F10B5"/>
    <w:rsid w:val="001F50C4"/>
    <w:rsid w:val="001F6235"/>
    <w:rsid w:val="00214062"/>
    <w:rsid w:val="00221843"/>
    <w:rsid w:val="00232F83"/>
    <w:rsid w:val="0023630F"/>
    <w:rsid w:val="0024360A"/>
    <w:rsid w:val="00245385"/>
    <w:rsid w:val="00245495"/>
    <w:rsid w:val="00255552"/>
    <w:rsid w:val="00256E88"/>
    <w:rsid w:val="00296CD7"/>
    <w:rsid w:val="002975C7"/>
    <w:rsid w:val="002A1626"/>
    <w:rsid w:val="002A3DC0"/>
    <w:rsid w:val="002B06B5"/>
    <w:rsid w:val="002B4AD7"/>
    <w:rsid w:val="002B7ECD"/>
    <w:rsid w:val="002C39D3"/>
    <w:rsid w:val="002C4455"/>
    <w:rsid w:val="002C5108"/>
    <w:rsid w:val="002D0C6D"/>
    <w:rsid w:val="002E6205"/>
    <w:rsid w:val="002F506F"/>
    <w:rsid w:val="00300204"/>
    <w:rsid w:val="0031790F"/>
    <w:rsid w:val="003400C8"/>
    <w:rsid w:val="00341791"/>
    <w:rsid w:val="003424ED"/>
    <w:rsid w:val="00350A36"/>
    <w:rsid w:val="00350FF7"/>
    <w:rsid w:val="003630DB"/>
    <w:rsid w:val="00364A15"/>
    <w:rsid w:val="00366EA6"/>
    <w:rsid w:val="00372FCD"/>
    <w:rsid w:val="0037647C"/>
    <w:rsid w:val="00383CAF"/>
    <w:rsid w:val="00391BE9"/>
    <w:rsid w:val="003A200A"/>
    <w:rsid w:val="003A7E26"/>
    <w:rsid w:val="003B2661"/>
    <w:rsid w:val="003B3126"/>
    <w:rsid w:val="003B47B8"/>
    <w:rsid w:val="003C397E"/>
    <w:rsid w:val="003C6DCC"/>
    <w:rsid w:val="003E111E"/>
    <w:rsid w:val="003E50C7"/>
    <w:rsid w:val="003E609D"/>
    <w:rsid w:val="003E7CA9"/>
    <w:rsid w:val="003F0D07"/>
    <w:rsid w:val="003F28EC"/>
    <w:rsid w:val="004015A8"/>
    <w:rsid w:val="004035FE"/>
    <w:rsid w:val="004039CD"/>
    <w:rsid w:val="004107BE"/>
    <w:rsid w:val="0041205B"/>
    <w:rsid w:val="00415E21"/>
    <w:rsid w:val="0042241F"/>
    <w:rsid w:val="00436086"/>
    <w:rsid w:val="0043778E"/>
    <w:rsid w:val="00437BB4"/>
    <w:rsid w:val="00441FAE"/>
    <w:rsid w:val="00455F5B"/>
    <w:rsid w:val="00463377"/>
    <w:rsid w:val="00480E04"/>
    <w:rsid w:val="004927DB"/>
    <w:rsid w:val="004B4E4D"/>
    <w:rsid w:val="004B78F1"/>
    <w:rsid w:val="004C667E"/>
    <w:rsid w:val="004D6990"/>
    <w:rsid w:val="004E3658"/>
    <w:rsid w:val="004E7E5D"/>
    <w:rsid w:val="004F0389"/>
    <w:rsid w:val="004F5373"/>
    <w:rsid w:val="004F7064"/>
    <w:rsid w:val="004F7101"/>
    <w:rsid w:val="00501B7F"/>
    <w:rsid w:val="0050403E"/>
    <w:rsid w:val="00504FB7"/>
    <w:rsid w:val="00507EC6"/>
    <w:rsid w:val="005171EC"/>
    <w:rsid w:val="00521221"/>
    <w:rsid w:val="00530553"/>
    <w:rsid w:val="00531BC7"/>
    <w:rsid w:val="005365B3"/>
    <w:rsid w:val="00545025"/>
    <w:rsid w:val="00550BC4"/>
    <w:rsid w:val="00554DC7"/>
    <w:rsid w:val="00556DC2"/>
    <w:rsid w:val="0056027F"/>
    <w:rsid w:val="0056090B"/>
    <w:rsid w:val="00561A52"/>
    <w:rsid w:val="00570A4F"/>
    <w:rsid w:val="00573618"/>
    <w:rsid w:val="00576346"/>
    <w:rsid w:val="0058586C"/>
    <w:rsid w:val="005907BD"/>
    <w:rsid w:val="0059479D"/>
    <w:rsid w:val="005949C4"/>
    <w:rsid w:val="00594DA5"/>
    <w:rsid w:val="0059559B"/>
    <w:rsid w:val="005B7E87"/>
    <w:rsid w:val="005C08CE"/>
    <w:rsid w:val="005C5A11"/>
    <w:rsid w:val="005C723E"/>
    <w:rsid w:val="005D22B4"/>
    <w:rsid w:val="005D2C0A"/>
    <w:rsid w:val="005D33BF"/>
    <w:rsid w:val="005D5C01"/>
    <w:rsid w:val="005E34B6"/>
    <w:rsid w:val="005E3757"/>
    <w:rsid w:val="005F2B9D"/>
    <w:rsid w:val="005F7A73"/>
    <w:rsid w:val="00605DBD"/>
    <w:rsid w:val="00623886"/>
    <w:rsid w:val="00624179"/>
    <w:rsid w:val="00630686"/>
    <w:rsid w:val="006325FD"/>
    <w:rsid w:val="00632FE7"/>
    <w:rsid w:val="006465AE"/>
    <w:rsid w:val="006471EE"/>
    <w:rsid w:val="00647DC0"/>
    <w:rsid w:val="00667FC3"/>
    <w:rsid w:val="00676C37"/>
    <w:rsid w:val="00682D44"/>
    <w:rsid w:val="006869C1"/>
    <w:rsid w:val="00697245"/>
    <w:rsid w:val="006A12A5"/>
    <w:rsid w:val="006C23B0"/>
    <w:rsid w:val="006C59BF"/>
    <w:rsid w:val="006D3B76"/>
    <w:rsid w:val="006D7678"/>
    <w:rsid w:val="006E465E"/>
    <w:rsid w:val="006F09AE"/>
    <w:rsid w:val="006F0D0C"/>
    <w:rsid w:val="006F11FA"/>
    <w:rsid w:val="006F2DD4"/>
    <w:rsid w:val="006F4184"/>
    <w:rsid w:val="006F7942"/>
    <w:rsid w:val="00703F1B"/>
    <w:rsid w:val="007049E2"/>
    <w:rsid w:val="00711E02"/>
    <w:rsid w:val="00721DAB"/>
    <w:rsid w:val="007233E0"/>
    <w:rsid w:val="0072407D"/>
    <w:rsid w:val="00732125"/>
    <w:rsid w:val="0075028C"/>
    <w:rsid w:val="00761E4D"/>
    <w:rsid w:val="00765432"/>
    <w:rsid w:val="0076580E"/>
    <w:rsid w:val="0076724D"/>
    <w:rsid w:val="00772210"/>
    <w:rsid w:val="007747E6"/>
    <w:rsid w:val="00781C7C"/>
    <w:rsid w:val="00781FE3"/>
    <w:rsid w:val="007839A2"/>
    <w:rsid w:val="0078503F"/>
    <w:rsid w:val="00790B8A"/>
    <w:rsid w:val="007A5E40"/>
    <w:rsid w:val="007B4F6C"/>
    <w:rsid w:val="007D2BD8"/>
    <w:rsid w:val="007F2024"/>
    <w:rsid w:val="007F3F18"/>
    <w:rsid w:val="008049A2"/>
    <w:rsid w:val="00806C02"/>
    <w:rsid w:val="00813A3B"/>
    <w:rsid w:val="008246C2"/>
    <w:rsid w:val="00824F47"/>
    <w:rsid w:val="00851039"/>
    <w:rsid w:val="00851132"/>
    <w:rsid w:val="00854183"/>
    <w:rsid w:val="0085517C"/>
    <w:rsid w:val="008567DC"/>
    <w:rsid w:val="008616B0"/>
    <w:rsid w:val="0086302F"/>
    <w:rsid w:val="00864D33"/>
    <w:rsid w:val="008655A9"/>
    <w:rsid w:val="00870020"/>
    <w:rsid w:val="0087172E"/>
    <w:rsid w:val="008806A1"/>
    <w:rsid w:val="00883BE4"/>
    <w:rsid w:val="0088576C"/>
    <w:rsid w:val="008926C9"/>
    <w:rsid w:val="00895981"/>
    <w:rsid w:val="008A43D4"/>
    <w:rsid w:val="008A624E"/>
    <w:rsid w:val="008A6661"/>
    <w:rsid w:val="008B05AB"/>
    <w:rsid w:val="008B296F"/>
    <w:rsid w:val="008B2F6B"/>
    <w:rsid w:val="008C5E7E"/>
    <w:rsid w:val="008D667F"/>
    <w:rsid w:val="008E1BB6"/>
    <w:rsid w:val="008E230E"/>
    <w:rsid w:val="008E5D42"/>
    <w:rsid w:val="008F3847"/>
    <w:rsid w:val="008F7267"/>
    <w:rsid w:val="0090082D"/>
    <w:rsid w:val="00901B78"/>
    <w:rsid w:val="009058FC"/>
    <w:rsid w:val="00911E2D"/>
    <w:rsid w:val="00914E11"/>
    <w:rsid w:val="00936132"/>
    <w:rsid w:val="00937B3D"/>
    <w:rsid w:val="009409A1"/>
    <w:rsid w:val="009538BC"/>
    <w:rsid w:val="00953C0E"/>
    <w:rsid w:val="0095793F"/>
    <w:rsid w:val="009609BC"/>
    <w:rsid w:val="0096407D"/>
    <w:rsid w:val="00971615"/>
    <w:rsid w:val="009747AE"/>
    <w:rsid w:val="00980C31"/>
    <w:rsid w:val="00992430"/>
    <w:rsid w:val="009A5BAE"/>
    <w:rsid w:val="009A699E"/>
    <w:rsid w:val="009C19C8"/>
    <w:rsid w:val="009C4B51"/>
    <w:rsid w:val="009C61BA"/>
    <w:rsid w:val="009D09A7"/>
    <w:rsid w:val="009D65D7"/>
    <w:rsid w:val="009D7D21"/>
    <w:rsid w:val="009E0F16"/>
    <w:rsid w:val="009F5CA4"/>
    <w:rsid w:val="00A062BF"/>
    <w:rsid w:val="00A10BBC"/>
    <w:rsid w:val="00A138F4"/>
    <w:rsid w:val="00A20C42"/>
    <w:rsid w:val="00A238ED"/>
    <w:rsid w:val="00A24856"/>
    <w:rsid w:val="00A277AB"/>
    <w:rsid w:val="00A331F1"/>
    <w:rsid w:val="00A40186"/>
    <w:rsid w:val="00A40757"/>
    <w:rsid w:val="00A424A6"/>
    <w:rsid w:val="00A4482A"/>
    <w:rsid w:val="00A457EF"/>
    <w:rsid w:val="00A46875"/>
    <w:rsid w:val="00A619B7"/>
    <w:rsid w:val="00A6301E"/>
    <w:rsid w:val="00A70EAB"/>
    <w:rsid w:val="00A80759"/>
    <w:rsid w:val="00A817E2"/>
    <w:rsid w:val="00A81C2B"/>
    <w:rsid w:val="00A832BE"/>
    <w:rsid w:val="00A90A2C"/>
    <w:rsid w:val="00A96AE7"/>
    <w:rsid w:val="00AA1100"/>
    <w:rsid w:val="00AA1BCE"/>
    <w:rsid w:val="00AA4570"/>
    <w:rsid w:val="00AA7B2C"/>
    <w:rsid w:val="00AB0410"/>
    <w:rsid w:val="00AC5BC4"/>
    <w:rsid w:val="00AD2381"/>
    <w:rsid w:val="00AF7690"/>
    <w:rsid w:val="00B03709"/>
    <w:rsid w:val="00B06AA5"/>
    <w:rsid w:val="00B06BF0"/>
    <w:rsid w:val="00B154D6"/>
    <w:rsid w:val="00B21781"/>
    <w:rsid w:val="00B23471"/>
    <w:rsid w:val="00B24C66"/>
    <w:rsid w:val="00B25270"/>
    <w:rsid w:val="00B27934"/>
    <w:rsid w:val="00B310E3"/>
    <w:rsid w:val="00B31431"/>
    <w:rsid w:val="00B359D2"/>
    <w:rsid w:val="00B35D8B"/>
    <w:rsid w:val="00B47627"/>
    <w:rsid w:val="00B51A80"/>
    <w:rsid w:val="00B53C1E"/>
    <w:rsid w:val="00B62FC7"/>
    <w:rsid w:val="00B70575"/>
    <w:rsid w:val="00B77CE7"/>
    <w:rsid w:val="00B808C1"/>
    <w:rsid w:val="00B86968"/>
    <w:rsid w:val="00B951B2"/>
    <w:rsid w:val="00BA39F2"/>
    <w:rsid w:val="00BB0693"/>
    <w:rsid w:val="00BD1117"/>
    <w:rsid w:val="00BD1FE5"/>
    <w:rsid w:val="00BD774F"/>
    <w:rsid w:val="00BE70E4"/>
    <w:rsid w:val="00BF3258"/>
    <w:rsid w:val="00BF715B"/>
    <w:rsid w:val="00C0159A"/>
    <w:rsid w:val="00C0277F"/>
    <w:rsid w:val="00C10219"/>
    <w:rsid w:val="00C20019"/>
    <w:rsid w:val="00C231A5"/>
    <w:rsid w:val="00C25148"/>
    <w:rsid w:val="00C2637A"/>
    <w:rsid w:val="00C30902"/>
    <w:rsid w:val="00C31CAA"/>
    <w:rsid w:val="00C31DC9"/>
    <w:rsid w:val="00C35219"/>
    <w:rsid w:val="00C378AC"/>
    <w:rsid w:val="00C45F8E"/>
    <w:rsid w:val="00C4743A"/>
    <w:rsid w:val="00C520CB"/>
    <w:rsid w:val="00C57C71"/>
    <w:rsid w:val="00C633B2"/>
    <w:rsid w:val="00C746B5"/>
    <w:rsid w:val="00C80E6A"/>
    <w:rsid w:val="00C83243"/>
    <w:rsid w:val="00C84B9C"/>
    <w:rsid w:val="00C926DA"/>
    <w:rsid w:val="00C94FFA"/>
    <w:rsid w:val="00CB29F3"/>
    <w:rsid w:val="00CB2E4B"/>
    <w:rsid w:val="00CB46F7"/>
    <w:rsid w:val="00CC0591"/>
    <w:rsid w:val="00CC2AF4"/>
    <w:rsid w:val="00CC3530"/>
    <w:rsid w:val="00CC77B6"/>
    <w:rsid w:val="00CD0EF7"/>
    <w:rsid w:val="00CD12CF"/>
    <w:rsid w:val="00CF775B"/>
    <w:rsid w:val="00CF78C0"/>
    <w:rsid w:val="00D02E76"/>
    <w:rsid w:val="00D106A3"/>
    <w:rsid w:val="00D15D32"/>
    <w:rsid w:val="00D17AE3"/>
    <w:rsid w:val="00D2158B"/>
    <w:rsid w:val="00D25B5B"/>
    <w:rsid w:val="00D319F5"/>
    <w:rsid w:val="00D3380F"/>
    <w:rsid w:val="00D340C8"/>
    <w:rsid w:val="00D420E7"/>
    <w:rsid w:val="00D542D6"/>
    <w:rsid w:val="00D567FC"/>
    <w:rsid w:val="00D57E03"/>
    <w:rsid w:val="00D6097F"/>
    <w:rsid w:val="00D633B6"/>
    <w:rsid w:val="00D7005B"/>
    <w:rsid w:val="00D91CAC"/>
    <w:rsid w:val="00D9456F"/>
    <w:rsid w:val="00D97187"/>
    <w:rsid w:val="00DA3817"/>
    <w:rsid w:val="00DA5491"/>
    <w:rsid w:val="00DB13F1"/>
    <w:rsid w:val="00DB3CC6"/>
    <w:rsid w:val="00DB3EC6"/>
    <w:rsid w:val="00DB403A"/>
    <w:rsid w:val="00DC108B"/>
    <w:rsid w:val="00DE1C57"/>
    <w:rsid w:val="00DE357A"/>
    <w:rsid w:val="00DF1035"/>
    <w:rsid w:val="00E05EF3"/>
    <w:rsid w:val="00E061EA"/>
    <w:rsid w:val="00E133B3"/>
    <w:rsid w:val="00E16B6E"/>
    <w:rsid w:val="00E22FB5"/>
    <w:rsid w:val="00E2518C"/>
    <w:rsid w:val="00E309F7"/>
    <w:rsid w:val="00E359FA"/>
    <w:rsid w:val="00E40D1F"/>
    <w:rsid w:val="00E42B7E"/>
    <w:rsid w:val="00E42DF9"/>
    <w:rsid w:val="00E45E37"/>
    <w:rsid w:val="00E56E88"/>
    <w:rsid w:val="00E607B9"/>
    <w:rsid w:val="00E644E5"/>
    <w:rsid w:val="00E66A85"/>
    <w:rsid w:val="00E7625C"/>
    <w:rsid w:val="00E94753"/>
    <w:rsid w:val="00EA1C3D"/>
    <w:rsid w:val="00EA79B3"/>
    <w:rsid w:val="00EB0859"/>
    <w:rsid w:val="00EB65A9"/>
    <w:rsid w:val="00EC440F"/>
    <w:rsid w:val="00EC7FF9"/>
    <w:rsid w:val="00ED1DFE"/>
    <w:rsid w:val="00ED36DD"/>
    <w:rsid w:val="00EF2028"/>
    <w:rsid w:val="00F00A94"/>
    <w:rsid w:val="00F05F01"/>
    <w:rsid w:val="00F07A70"/>
    <w:rsid w:val="00F101E4"/>
    <w:rsid w:val="00F131B8"/>
    <w:rsid w:val="00F1486A"/>
    <w:rsid w:val="00F14C6A"/>
    <w:rsid w:val="00F22C55"/>
    <w:rsid w:val="00F3777D"/>
    <w:rsid w:val="00F37A54"/>
    <w:rsid w:val="00F42C10"/>
    <w:rsid w:val="00F4582A"/>
    <w:rsid w:val="00F54D84"/>
    <w:rsid w:val="00F61D22"/>
    <w:rsid w:val="00F64B97"/>
    <w:rsid w:val="00F773F8"/>
    <w:rsid w:val="00F91327"/>
    <w:rsid w:val="00F95167"/>
    <w:rsid w:val="00FA3049"/>
    <w:rsid w:val="00FC5ABC"/>
    <w:rsid w:val="00FD10F4"/>
    <w:rsid w:val="00FD1F3B"/>
    <w:rsid w:val="00FD26D5"/>
    <w:rsid w:val="00FD2CBE"/>
    <w:rsid w:val="00FD3BF9"/>
    <w:rsid w:val="00FD432F"/>
    <w:rsid w:val="00FD5DE6"/>
    <w:rsid w:val="00FD769C"/>
    <w:rsid w:val="00FE2328"/>
    <w:rsid w:val="00FE5AD8"/>
    <w:rsid w:val="00FE5CDC"/>
    <w:rsid w:val="00FF1678"/>
    <w:rsid w:val="00FF1D47"/>
    <w:rsid w:val="00F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700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70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02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70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0020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87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0F2E6C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76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6C37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99"/>
    <w:qFormat/>
    <w:rsid w:val="005B7E87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ac">
    <w:name w:val="По умолчанию"/>
    <w:rsid w:val="009E0F1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ind w:left="567" w:right="232"/>
    </w:pPr>
    <w:rPr>
      <w:rFonts w:ascii="Helvetica" w:eastAsia="Arial Unicode MS" w:hAnsi="Helvetica" w:cs="Arial Unicode MS"/>
      <w:color w:val="000000"/>
      <w:spacing w:val="5"/>
      <w:bdr w:val="nil"/>
      <w:lang w:eastAsia="ru-RU"/>
    </w:rPr>
  </w:style>
  <w:style w:type="character" w:styleId="ad">
    <w:name w:val="annotation reference"/>
    <w:uiPriority w:val="99"/>
    <w:semiHidden/>
    <w:unhideWhenUsed/>
    <w:rsid w:val="00415E2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15E21"/>
    <w:pPr>
      <w:spacing w:after="20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15E21"/>
    <w:rPr>
      <w:rFonts w:ascii="Calibri" w:eastAsia="Calibri" w:hAnsi="Calibri" w:cs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94DA5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94DA5"/>
    <w:rPr>
      <w:rFonts w:ascii="Calibri" w:eastAsiaTheme="minorEastAsia" w:hAnsi="Calibri" w:cs="Calibri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700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70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02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70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0020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87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0F2E6C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76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6C37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99"/>
    <w:qFormat/>
    <w:rsid w:val="005B7E87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ac">
    <w:name w:val="По умолчанию"/>
    <w:rsid w:val="009E0F1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ind w:left="567" w:right="232"/>
    </w:pPr>
    <w:rPr>
      <w:rFonts w:ascii="Helvetica" w:eastAsia="Arial Unicode MS" w:hAnsi="Helvetica" w:cs="Arial Unicode MS"/>
      <w:color w:val="000000"/>
      <w:spacing w:val="5"/>
      <w:bdr w:val="nil"/>
      <w:lang w:eastAsia="ru-RU"/>
    </w:rPr>
  </w:style>
  <w:style w:type="character" w:styleId="ad">
    <w:name w:val="annotation reference"/>
    <w:uiPriority w:val="99"/>
    <w:semiHidden/>
    <w:unhideWhenUsed/>
    <w:rsid w:val="00415E2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15E21"/>
    <w:pPr>
      <w:spacing w:after="20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15E21"/>
    <w:rPr>
      <w:rFonts w:ascii="Calibri" w:eastAsia="Calibri" w:hAnsi="Calibri" w:cs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94DA5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94DA5"/>
    <w:rPr>
      <w:rFonts w:ascii="Calibri" w:eastAsiaTheme="minorEastAsia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6020&amp;dst=100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D734D-C408-4121-925B-966809F2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4013</Words>
  <Characters>22880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 Артем Алексеевич</dc:creator>
  <cp:lastModifiedBy>Георгий Васильевич Пономаренко</cp:lastModifiedBy>
  <cp:revision>19</cp:revision>
  <cp:lastPrinted>2024-08-26T13:14:00Z</cp:lastPrinted>
  <dcterms:created xsi:type="dcterms:W3CDTF">2024-08-26T13:19:00Z</dcterms:created>
  <dcterms:modified xsi:type="dcterms:W3CDTF">2024-09-05T13:38:00Z</dcterms:modified>
</cp:coreProperties>
</file>